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420" w:firstLineChars="200"/>
        <w:rPr>
          <w:rFonts w:hint="default" w:ascii="Arial" w:hAnsi="Arial" w:cs="Arial"/>
          <w:sz w:val="22"/>
          <w:szCs w:val="22"/>
        </w:rPr>
      </w:pPr>
      <w:r>
        <w:drawing>
          <wp:anchor distT="0" distB="0" distL="114300" distR="114300" simplePos="0" relativeHeight="251661312" behindDoc="1" locked="0" layoutInCell="1" allowOverlap="1">
            <wp:simplePos x="0" y="0"/>
            <wp:positionH relativeFrom="column">
              <wp:posOffset>1247775</wp:posOffset>
            </wp:positionH>
            <wp:positionV relativeFrom="paragraph">
              <wp:posOffset>47625</wp:posOffset>
            </wp:positionV>
            <wp:extent cx="3291840" cy="3321685"/>
            <wp:effectExtent l="0" t="0" r="3810" b="120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91840" cy="3321685"/>
                    </a:xfrm>
                    <a:prstGeom prst="rect">
                      <a:avLst/>
                    </a:prstGeom>
                  </pic:spPr>
                </pic:pic>
              </a:graphicData>
            </a:graphic>
          </wp:anchor>
        </w:drawing>
      </w: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800" w:firstLineChars="200"/>
        <w:rPr>
          <w:rFonts w:hint="default" w:ascii="Arial" w:hAnsi="Arial" w:cs="Arial"/>
          <w:sz w:val="40"/>
          <w:szCs w:val="40"/>
        </w:rPr>
      </w:pPr>
    </w:p>
    <w:p>
      <w:pPr>
        <w:ind w:firstLine="800" w:firstLineChars="200"/>
        <w:jc w:val="center"/>
        <w:rPr>
          <w:rFonts w:hint="default" w:ascii="Arial" w:hAnsi="Arial" w:cs="Arial"/>
          <w:sz w:val="40"/>
          <w:szCs w:val="40"/>
        </w:rPr>
      </w:pPr>
      <w:r>
        <w:rPr>
          <w:rFonts w:hint="default" w:ascii="Arial" w:hAnsi="Arial" w:cs="Arial"/>
          <w:sz w:val="40"/>
          <w:szCs w:val="40"/>
        </w:rPr>
        <w:t>北京希优照明设备有限公司</w:t>
      </w:r>
      <w:r>
        <w:rPr>
          <w:rFonts w:hint="default" w:ascii="Arial" w:hAnsi="Arial" w:cs="Arial"/>
          <w:sz w:val="40"/>
          <w:szCs w:val="40"/>
        </w:rPr>
        <w:br w:type="textWrapping"/>
      </w:r>
      <w:r>
        <w:rPr>
          <w:rFonts w:hint="default" w:ascii="Arial" w:hAnsi="Arial" w:cs="Arial"/>
          <w:sz w:val="40"/>
          <w:szCs w:val="40"/>
        </w:rPr>
        <w:t>Beijing CU Lighting Equipment Co,.Ltd</w:t>
      </w: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p>
    <w:p>
      <w:pPr>
        <w:rPr>
          <w:rFonts w:hint="default" w:ascii="Arial" w:hAnsi="Arial" w:cs="Arial"/>
          <w:sz w:val="22"/>
          <w:szCs w:val="22"/>
        </w:rPr>
      </w:pPr>
    </w:p>
    <w:p>
      <w:pPr>
        <w:ind w:firstLine="440" w:firstLineChars="200"/>
        <w:rPr>
          <w:rFonts w:hint="default" w:ascii="Arial" w:hAnsi="Arial" w:cs="Arial"/>
          <w:sz w:val="22"/>
          <w:szCs w:val="22"/>
        </w:rPr>
      </w:pPr>
    </w:p>
    <w:p>
      <w:pPr>
        <w:ind w:firstLine="442" w:firstLineChars="200"/>
        <w:jc w:val="center"/>
        <w:rPr>
          <w:rFonts w:hint="default" w:ascii="Arial" w:hAnsi="Arial" w:cs="Arial" w:eastAsiaTheme="minorEastAsia"/>
          <w:b/>
          <w:bCs/>
          <w:sz w:val="22"/>
          <w:szCs w:val="22"/>
          <w:lang w:val="en-US" w:eastAsia="zh-CN"/>
        </w:rPr>
      </w:pPr>
      <w:r>
        <w:rPr>
          <w:rFonts w:hint="default" w:ascii="Arial" w:hAnsi="Arial" w:cs="Arial"/>
          <w:b/>
          <w:bCs/>
          <w:sz w:val="22"/>
          <w:szCs w:val="22"/>
          <w:lang w:val="en-US" w:eastAsia="zh-CN"/>
        </w:rPr>
        <w:t>公</w:t>
      </w:r>
      <w:r>
        <w:rPr>
          <w:rFonts w:hint="eastAsia" w:ascii="Arial" w:hAnsi="Arial" w:cs="Arial"/>
          <w:b/>
          <w:bCs/>
          <w:sz w:val="22"/>
          <w:szCs w:val="22"/>
          <w:lang w:val="en-US" w:eastAsia="zh-CN"/>
        </w:rPr>
        <w:t xml:space="preserve"> </w:t>
      </w:r>
      <w:r>
        <w:rPr>
          <w:rFonts w:hint="default" w:ascii="Arial" w:hAnsi="Arial" w:cs="Arial"/>
          <w:b/>
          <w:bCs/>
          <w:sz w:val="22"/>
          <w:szCs w:val="22"/>
          <w:lang w:val="en-US" w:eastAsia="zh-CN"/>
        </w:rPr>
        <w:t>司</w:t>
      </w:r>
      <w:r>
        <w:rPr>
          <w:rFonts w:hint="eastAsia" w:ascii="Arial" w:hAnsi="Arial" w:cs="Arial"/>
          <w:b/>
          <w:bCs/>
          <w:sz w:val="22"/>
          <w:szCs w:val="22"/>
          <w:lang w:val="en-US" w:eastAsia="zh-CN"/>
        </w:rPr>
        <w:t xml:space="preserve"> </w:t>
      </w:r>
      <w:r>
        <w:rPr>
          <w:rFonts w:hint="default" w:ascii="Arial" w:hAnsi="Arial" w:cs="Arial"/>
          <w:b/>
          <w:bCs/>
          <w:sz w:val="22"/>
          <w:szCs w:val="22"/>
          <w:lang w:val="en-US" w:eastAsia="zh-CN"/>
        </w:rPr>
        <w:t>简</w:t>
      </w:r>
      <w:r>
        <w:rPr>
          <w:rFonts w:hint="eastAsia" w:ascii="Arial" w:hAnsi="Arial" w:cs="Arial"/>
          <w:b/>
          <w:bCs/>
          <w:sz w:val="22"/>
          <w:szCs w:val="22"/>
          <w:lang w:val="en-US" w:eastAsia="zh-CN"/>
        </w:rPr>
        <w:t xml:space="preserve"> </w:t>
      </w:r>
      <w:r>
        <w:rPr>
          <w:rFonts w:hint="default" w:ascii="Arial" w:hAnsi="Arial" w:cs="Arial"/>
          <w:b/>
          <w:bCs/>
          <w:sz w:val="22"/>
          <w:szCs w:val="22"/>
          <w:lang w:val="en-US" w:eastAsia="zh-CN"/>
        </w:rPr>
        <w:t>介</w:t>
      </w:r>
    </w:p>
    <w:p>
      <w:pPr>
        <w:ind w:firstLine="440" w:firstLineChars="200"/>
        <w:rPr>
          <w:rFonts w:hint="default" w:ascii="Arial" w:hAnsi="Arial" w:cs="Arial"/>
          <w:sz w:val="22"/>
          <w:szCs w:val="22"/>
        </w:rPr>
      </w:pPr>
    </w:p>
    <w:p>
      <w:pPr>
        <w:ind w:firstLine="440" w:firstLineChars="200"/>
        <w:rPr>
          <w:rFonts w:hint="default" w:ascii="Arial" w:hAnsi="Arial" w:cs="Arial"/>
          <w:sz w:val="22"/>
          <w:szCs w:val="22"/>
        </w:rPr>
      </w:pPr>
      <w:r>
        <w:rPr>
          <w:rFonts w:hint="default" w:ascii="Arial" w:hAnsi="Arial" w:cs="Arial"/>
          <w:sz w:val="22"/>
          <w:szCs w:val="22"/>
        </w:rPr>
        <w:t xml:space="preserve">CU Phosco 照明公司（简称 cu ）于 1923 年创立，总部位于英国伦敦附近的赫特福德郡。 cu是拥有近百年历史的公共照明领域专业照明公司，是世界公共照明行业的开创者，并于之后的岁月里建立了包括灯具、灯杆和其他配套照明设备的产品王国。cu </w:t>
      </w:r>
      <w:r>
        <w:rPr>
          <w:rFonts w:hint="default" w:ascii="Arial" w:hAnsi="Arial" w:cs="Arial"/>
          <w:sz w:val="22"/>
          <w:szCs w:val="22"/>
          <w:lang w:val="en-US" w:eastAsia="zh-CN"/>
        </w:rPr>
        <w:t>是最早</w:t>
      </w:r>
      <w:r>
        <w:rPr>
          <w:rFonts w:hint="default" w:ascii="Arial" w:hAnsi="Arial" w:cs="Arial"/>
          <w:sz w:val="22"/>
          <w:szCs w:val="22"/>
        </w:rPr>
        <w:t>向用户提供道路照明灯杆和升降式高杆</w:t>
      </w:r>
      <w:r>
        <w:rPr>
          <w:rFonts w:hint="default" w:ascii="Arial" w:hAnsi="Arial" w:cs="Arial"/>
          <w:sz w:val="22"/>
          <w:szCs w:val="22"/>
          <w:lang w:val="en-US" w:eastAsia="zh-CN"/>
        </w:rPr>
        <w:t>的</w:t>
      </w:r>
      <w:r>
        <w:rPr>
          <w:rFonts w:hint="default" w:ascii="Arial" w:hAnsi="Arial" w:cs="Arial"/>
          <w:sz w:val="22"/>
          <w:szCs w:val="22"/>
        </w:rPr>
        <w:t>设计生产</w:t>
      </w:r>
      <w:r>
        <w:rPr>
          <w:rFonts w:hint="default" w:ascii="Arial" w:hAnsi="Arial" w:cs="Arial"/>
          <w:sz w:val="22"/>
          <w:szCs w:val="22"/>
          <w:lang w:val="en-US" w:eastAsia="zh-CN"/>
        </w:rPr>
        <w:t>者</w:t>
      </w:r>
      <w:r>
        <w:rPr>
          <w:rFonts w:hint="default" w:ascii="Arial" w:hAnsi="Arial" w:cs="Arial"/>
          <w:sz w:val="22"/>
          <w:szCs w:val="22"/>
        </w:rPr>
        <w:t>，是高杆照明设备国际、国内标准的编制者。 cu 从照明设计开始，生产制造各类交通工程照明灯具、灯杆、控制系统，有专业的工厂和施工队伍提供包括设计、安装、调试、售后服务等。 cu依托强大的人才资源和丰富的产品设计制造经验，开发生产了</w:t>
      </w:r>
      <w:r>
        <w:rPr>
          <w:rFonts w:hint="default" w:ascii="Arial" w:hAnsi="Arial" w:cs="Arial"/>
          <w:sz w:val="22"/>
          <w:szCs w:val="22"/>
          <w:lang w:val="en-US" w:eastAsia="zh-CN"/>
        </w:rPr>
        <w:t>一</w:t>
      </w:r>
      <w:r>
        <w:rPr>
          <w:rFonts w:hint="default" w:ascii="Arial" w:hAnsi="Arial" w:cs="Arial"/>
          <w:sz w:val="22"/>
          <w:szCs w:val="22"/>
        </w:rPr>
        <w:t>系列高质量照明设备，形成了完备的公共照明产品体系。cu 灯具工艺先进，</w:t>
      </w:r>
      <w:r>
        <w:rPr>
          <w:rFonts w:hint="default" w:ascii="Arial" w:hAnsi="Arial" w:cs="Arial"/>
          <w:sz w:val="22"/>
          <w:szCs w:val="22"/>
          <w:lang w:val="en-US" w:eastAsia="zh-CN"/>
        </w:rPr>
        <w:t>品</w:t>
      </w:r>
      <w:r>
        <w:rPr>
          <w:rFonts w:hint="default" w:ascii="Arial" w:hAnsi="Arial" w:cs="Arial"/>
          <w:sz w:val="22"/>
          <w:szCs w:val="22"/>
        </w:rPr>
        <w:t>质优良，科技含量高，且经久耐用，为国际照明产业中的精品。</w:t>
      </w:r>
    </w:p>
    <w:p>
      <w:pPr>
        <w:ind w:firstLine="440" w:firstLineChars="200"/>
        <w:rPr>
          <w:rFonts w:hint="default" w:ascii="Arial" w:hAnsi="Arial" w:cs="Arial"/>
          <w:sz w:val="22"/>
          <w:szCs w:val="22"/>
          <w:lang w:val="en-US" w:eastAsia="zh-CN"/>
        </w:rPr>
      </w:pPr>
      <w:r>
        <w:rPr>
          <w:rFonts w:hint="default" w:ascii="Arial" w:hAnsi="Arial" w:cs="Arial"/>
          <w:sz w:val="22"/>
          <w:szCs w:val="22"/>
        </w:rPr>
        <w:t>目前，遍布全球的很多</w:t>
      </w:r>
      <w:r>
        <w:rPr>
          <w:rFonts w:hint="default" w:ascii="Arial" w:hAnsi="Arial" w:cs="Arial"/>
          <w:sz w:val="22"/>
          <w:szCs w:val="22"/>
          <w:lang w:val="en-US" w:eastAsia="zh-CN"/>
        </w:rPr>
        <w:t>交通设施采用了CU的照明产品。享受到了高技术、高品质和低总价的专业系统服务。</w:t>
      </w:r>
      <w:r>
        <w:rPr>
          <w:rFonts w:hint="default" w:ascii="Arial" w:hAnsi="Arial" w:cs="Arial"/>
          <w:sz w:val="22"/>
          <w:szCs w:val="22"/>
        </w:rPr>
        <w:t>cu高杆</w:t>
      </w:r>
      <w:r>
        <w:rPr>
          <w:rFonts w:hint="default" w:ascii="Arial" w:hAnsi="Arial" w:cs="Arial"/>
          <w:sz w:val="22"/>
          <w:szCs w:val="22"/>
          <w:lang w:val="en-US" w:eastAsia="zh-CN"/>
        </w:rPr>
        <w:t>的横截面</w:t>
      </w:r>
      <w:r>
        <w:rPr>
          <w:rFonts w:hint="default" w:ascii="Arial" w:hAnsi="Arial" w:cs="Arial"/>
          <w:sz w:val="22"/>
          <w:szCs w:val="22"/>
        </w:rPr>
        <w:t>为二十边形，结梅强度高、外形美观整洁，单、双、三卷筒高杆卷扬机升降系统是国内通过专业安全认证机梅认证的产品，并且保持着数万颗高杆无</w:t>
      </w:r>
      <w:r>
        <w:rPr>
          <w:rFonts w:hint="default" w:ascii="Arial" w:hAnsi="Arial" w:cs="Arial"/>
          <w:sz w:val="22"/>
          <w:szCs w:val="22"/>
          <w:lang w:val="en-US" w:eastAsia="zh-CN"/>
        </w:rPr>
        <w:t>一</w:t>
      </w:r>
      <w:r>
        <w:rPr>
          <w:rFonts w:hint="default" w:ascii="Arial" w:hAnsi="Arial" w:cs="Arial"/>
          <w:sz w:val="22"/>
          <w:szCs w:val="22"/>
        </w:rPr>
        <w:t>例安全事故的记录，是世界上最安全的照明高杆。cu 产品配套专业、完整，展现了国际一流的技术实力和产品水平。 其产品广泛应用于全球港口、机场、城市立交桥、公路、 隧道、 园林照明系统中。 cu 以先进的科学</w:t>
      </w:r>
      <w:r>
        <w:rPr>
          <w:rFonts w:hint="default" w:ascii="Arial" w:hAnsi="Arial" w:cs="Arial"/>
          <w:sz w:val="22"/>
          <w:szCs w:val="22"/>
          <w:lang w:val="en-US" w:eastAsia="zh-CN"/>
        </w:rPr>
        <w:t>技术手段，认真负责的工作精神和热情完善的服务，赢得了国际国内广大用户的信任。</w:t>
      </w:r>
    </w:p>
    <w:p>
      <w:pPr>
        <w:ind w:firstLine="420" w:firstLineChars="200"/>
        <w:rPr>
          <w:rFonts w:hint="eastAsia"/>
          <w:lang w:val="en-US" w:eastAsia="zh-CN"/>
        </w:rPr>
      </w:pPr>
    </w:p>
    <w:p>
      <w:pPr>
        <w:ind w:firstLine="420" w:firstLineChars="200"/>
        <w:rPr>
          <w:rFonts w:hint="eastAsia"/>
          <w:lang w:val="en-US" w:eastAsia="zh-CN"/>
        </w:rPr>
      </w:pPr>
    </w:p>
    <w:p>
      <w:pPr>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pPr>
      <w:r>
        <w:drawing>
          <wp:inline distT="0" distB="0" distL="114300" distR="114300">
            <wp:extent cx="5526405" cy="3493135"/>
            <wp:effectExtent l="0" t="0" r="17145"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526405" cy="3493135"/>
                    </a:xfrm>
                    <a:prstGeom prst="rect">
                      <a:avLst/>
                    </a:prstGeom>
                    <a:noFill/>
                    <a:ln>
                      <a:noFill/>
                    </a:ln>
                  </pic:spPr>
                </pic:pic>
              </a:graphicData>
            </a:graphic>
          </wp:inline>
        </w:drawing>
      </w:r>
    </w:p>
    <w:p>
      <w:pPr>
        <w:ind w:firstLine="420" w:firstLineChars="200"/>
      </w:pPr>
    </w:p>
    <w:p>
      <w:pPr>
        <w:ind w:firstLine="420" w:firstLineChars="200"/>
      </w:pPr>
    </w:p>
    <w:p>
      <w:pPr>
        <w:ind w:firstLine="420" w:firstLineChars="200"/>
      </w:pPr>
    </w:p>
    <w:p>
      <w:pPr>
        <w:ind w:firstLine="420" w:firstLineChars="200"/>
        <w:rPr>
          <w:rFonts w:hint="default"/>
          <w:lang w:val="en-US" w:eastAsia="zh-CN"/>
        </w:rPr>
      </w:pPr>
      <w:bookmarkStart w:id="0" w:name="_GoBack"/>
      <w:bookmarkEnd w:id="0"/>
    </w:p>
    <w:p>
      <w:pPr>
        <w:ind w:firstLine="422" w:firstLineChars="200"/>
        <w:rPr>
          <w:rFonts w:hint="default"/>
          <w:b/>
          <w:bCs/>
          <w:lang w:val="en-US" w:eastAsia="zh-CN"/>
        </w:rPr>
      </w:pPr>
      <w:r>
        <w:rPr>
          <w:rFonts w:hint="default"/>
          <w:b/>
          <w:bCs/>
          <w:lang w:val="en-US" w:eastAsia="zh-CN"/>
        </w:rPr>
        <w:t>升降式高杆</w:t>
      </w:r>
    </w:p>
    <w:p>
      <w:pPr>
        <w:ind w:firstLine="420" w:firstLineChars="200"/>
        <w:rPr>
          <w:rFonts w:hint="default"/>
          <w:lang w:val="en-US" w:eastAsia="zh-CN"/>
        </w:rPr>
      </w:pPr>
      <w:r>
        <w:drawing>
          <wp:anchor distT="0" distB="0" distL="114300" distR="114300" simplePos="0" relativeHeight="251659264" behindDoc="1" locked="0" layoutInCell="1" allowOverlap="1">
            <wp:simplePos x="0" y="0"/>
            <wp:positionH relativeFrom="column">
              <wp:posOffset>4210050</wp:posOffset>
            </wp:positionH>
            <wp:positionV relativeFrom="paragraph">
              <wp:posOffset>140970</wp:posOffset>
            </wp:positionV>
            <wp:extent cx="1273810" cy="1200150"/>
            <wp:effectExtent l="0" t="0" r="0" b="0"/>
            <wp:wrapTight wrapText="bothSides">
              <wp:wrapPolygon>
                <wp:start x="0" y="0"/>
                <wp:lineTo x="0" y="21257"/>
                <wp:lineTo x="21320" y="21257"/>
                <wp:lineTo x="21320"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273810" cy="1200150"/>
                    </a:xfrm>
                    <a:prstGeom prst="rect">
                      <a:avLst/>
                    </a:prstGeom>
                    <a:noFill/>
                    <a:ln>
                      <a:noFill/>
                    </a:ln>
                  </pic:spPr>
                </pic:pic>
              </a:graphicData>
            </a:graphic>
          </wp:anchor>
        </w:drawing>
      </w:r>
    </w:p>
    <w:p>
      <w:pPr>
        <w:ind w:firstLine="440" w:firstLineChars="200"/>
        <w:rPr>
          <w:rFonts w:hint="default" w:ascii="Arial" w:hAnsi="Arial" w:cs="Arial"/>
          <w:sz w:val="22"/>
          <w:szCs w:val="22"/>
        </w:rPr>
      </w:pPr>
      <w:r>
        <w:rPr>
          <w:rFonts w:hint="default" w:ascii="Arial" w:hAnsi="Arial" w:cs="Arial"/>
          <w:sz w:val="22"/>
          <w:szCs w:val="22"/>
        </w:rPr>
        <w:t>升降式高杆是大面积集中照明的主要设备，普遍应用于各种户外场所。自从 cu 设计生产了世界上</w:t>
      </w:r>
      <w:r>
        <w:rPr>
          <w:rFonts w:hint="default" w:ascii="Arial" w:hAnsi="Arial" w:cs="Arial"/>
          <w:sz w:val="22"/>
          <w:szCs w:val="22"/>
          <w:lang w:val="en-US" w:eastAsia="zh-CN"/>
        </w:rPr>
        <w:t>首基</w:t>
      </w:r>
      <w:r>
        <w:rPr>
          <w:rFonts w:hint="default" w:ascii="Arial" w:hAnsi="Arial" w:cs="Arial"/>
          <w:sz w:val="22"/>
          <w:szCs w:val="22"/>
        </w:rPr>
        <w:t>升降式高杆以来，cu的高杆产</w:t>
      </w:r>
      <w:r>
        <w:rPr>
          <w:rFonts w:hint="default" w:ascii="Arial" w:hAnsi="Arial" w:cs="Arial"/>
          <w:sz w:val="22"/>
          <w:szCs w:val="22"/>
          <w:lang w:val="en-US" w:eastAsia="zh-CN"/>
        </w:rPr>
        <w:t>品</w:t>
      </w:r>
      <w:r>
        <w:rPr>
          <w:rFonts w:hint="default" w:ascii="Arial" w:hAnsi="Arial" w:cs="Arial"/>
          <w:sz w:val="22"/>
          <w:szCs w:val="22"/>
        </w:rPr>
        <w:t>形成了完整的系列，拥</w:t>
      </w:r>
      <w:r>
        <w:rPr>
          <w:rFonts w:hint="default" w:ascii="Arial" w:hAnsi="Arial" w:cs="Arial"/>
          <w:sz w:val="22"/>
          <w:szCs w:val="22"/>
          <w:lang w:val="en-US" w:eastAsia="zh-CN"/>
        </w:rPr>
        <w:t>有</w:t>
      </w:r>
      <w:r>
        <w:rPr>
          <w:rFonts w:hint="default" w:ascii="Arial" w:hAnsi="Arial" w:cs="Arial"/>
          <w:sz w:val="22"/>
          <w:szCs w:val="22"/>
        </w:rPr>
        <w:t>丰富的功能选</w:t>
      </w:r>
      <w:r>
        <w:rPr>
          <w:rFonts w:hint="default" w:ascii="Arial" w:hAnsi="Arial" w:cs="Arial"/>
          <w:sz w:val="22"/>
          <w:szCs w:val="22"/>
          <w:lang w:val="en-US" w:eastAsia="zh-CN"/>
        </w:rPr>
        <w:t>项</w:t>
      </w:r>
      <w:r>
        <w:rPr>
          <w:rFonts w:hint="default" w:ascii="Arial" w:hAnsi="Arial" w:cs="Arial"/>
          <w:sz w:val="22"/>
          <w:szCs w:val="22"/>
        </w:rPr>
        <w:t>，满足各种不同的使用需求。</w:t>
      </w:r>
    </w:p>
    <w:p>
      <w:pPr>
        <w:ind w:firstLine="440" w:firstLineChars="200"/>
        <w:rPr>
          <w:rFonts w:hint="default" w:ascii="Arial" w:hAnsi="Arial" w:cs="Arial"/>
          <w:sz w:val="22"/>
          <w:szCs w:val="22"/>
        </w:rPr>
      </w:pPr>
      <w:r>
        <w:rPr>
          <w:rFonts w:hint="default" w:ascii="Arial" w:hAnsi="Arial" w:cs="Arial"/>
          <w:sz w:val="22"/>
          <w:szCs w:val="22"/>
        </w:rPr>
        <w:t>•</w:t>
      </w:r>
      <w:r>
        <w:rPr>
          <w:rFonts w:hint="default" w:ascii="Arial" w:hAnsi="Arial" w:cs="Arial"/>
          <w:sz w:val="22"/>
          <w:szCs w:val="22"/>
        </w:rPr>
        <w:tab/>
      </w:r>
      <w:r>
        <w:rPr>
          <w:rFonts w:hint="default" w:ascii="Arial" w:hAnsi="Arial" w:cs="Arial"/>
          <w:sz w:val="22"/>
          <w:szCs w:val="22"/>
        </w:rPr>
        <w:t>主要材质：Q235\Q345\A572GR65以及更高强度的碳素钢或合金钢</w:t>
      </w:r>
    </w:p>
    <w:p>
      <w:pPr>
        <w:ind w:firstLine="440" w:firstLineChars="200"/>
        <w:rPr>
          <w:rFonts w:hint="default" w:ascii="Arial" w:hAnsi="Arial" w:cs="Arial"/>
          <w:sz w:val="22"/>
          <w:szCs w:val="22"/>
        </w:rPr>
      </w:pPr>
      <w:r>
        <w:rPr>
          <w:rFonts w:hint="default" w:ascii="Arial" w:hAnsi="Arial" w:cs="Arial"/>
          <w:sz w:val="22"/>
          <w:szCs w:val="22"/>
        </w:rPr>
        <w:t>•</w:t>
      </w:r>
      <w:r>
        <w:rPr>
          <w:rFonts w:hint="default" w:ascii="Arial" w:hAnsi="Arial" w:cs="Arial"/>
          <w:sz w:val="22"/>
          <w:szCs w:val="22"/>
        </w:rPr>
        <w:tab/>
      </w:r>
      <w:r>
        <w:rPr>
          <w:rFonts w:hint="default" w:ascii="Arial" w:hAnsi="Arial" w:cs="Arial"/>
          <w:sz w:val="22"/>
          <w:szCs w:val="22"/>
        </w:rPr>
        <w:t>杆体结构：二十边形截面锥型杆，全插</w:t>
      </w:r>
      <w:r>
        <w:rPr>
          <w:rFonts w:hint="default" w:ascii="Arial" w:hAnsi="Arial" w:cs="Arial"/>
          <w:sz w:val="22"/>
          <w:szCs w:val="22"/>
          <w:lang w:val="en-US" w:eastAsia="zh-CN"/>
        </w:rPr>
        <w:t>接</w:t>
      </w:r>
      <w:r>
        <w:rPr>
          <w:rFonts w:hint="default" w:ascii="Arial" w:hAnsi="Arial" w:cs="Arial"/>
          <w:sz w:val="22"/>
          <w:szCs w:val="22"/>
        </w:rPr>
        <w:t>，无横向焊缝，直线度误差小于 3%</w:t>
      </w:r>
    </w:p>
    <w:p>
      <w:pPr>
        <w:ind w:firstLine="440" w:firstLineChars="200"/>
        <w:rPr>
          <w:rFonts w:hint="default" w:ascii="Arial" w:hAnsi="Arial" w:cs="Arial"/>
          <w:sz w:val="22"/>
          <w:szCs w:val="22"/>
        </w:rPr>
      </w:pPr>
      <w:r>
        <w:rPr>
          <w:rFonts w:hint="default" w:ascii="Arial" w:hAnsi="Arial" w:cs="Arial"/>
          <w:sz w:val="22"/>
          <w:szCs w:val="22"/>
        </w:rPr>
        <w:t>•</w:t>
      </w:r>
      <w:r>
        <w:rPr>
          <w:rFonts w:hint="default" w:ascii="Arial" w:hAnsi="Arial" w:cs="Arial"/>
          <w:sz w:val="22"/>
          <w:szCs w:val="22"/>
          <w:lang w:val="en-US" w:eastAsia="zh-CN"/>
        </w:rPr>
        <w:t xml:space="preserve">   </w:t>
      </w:r>
      <w:r>
        <w:rPr>
          <w:rFonts w:hint="default" w:ascii="Arial" w:hAnsi="Arial" w:cs="Arial"/>
          <w:sz w:val="22"/>
          <w:szCs w:val="22"/>
        </w:rPr>
        <w:t>焊 缝：埋弧焊或气体保护焊</w:t>
      </w:r>
    </w:p>
    <w:p>
      <w:pPr>
        <w:ind w:firstLine="440" w:firstLineChars="200"/>
        <w:rPr>
          <w:rFonts w:hint="default" w:ascii="Arial" w:hAnsi="Arial" w:cs="Arial"/>
          <w:sz w:val="22"/>
          <w:szCs w:val="22"/>
        </w:rPr>
      </w:pPr>
      <w:r>
        <w:rPr>
          <w:rFonts w:hint="default" w:ascii="Arial" w:hAnsi="Arial" w:cs="Arial"/>
          <w:sz w:val="22"/>
          <w:szCs w:val="22"/>
        </w:rPr>
        <w:t>•</w:t>
      </w:r>
      <w:r>
        <w:rPr>
          <w:rFonts w:hint="default" w:ascii="Arial" w:hAnsi="Arial" w:cs="Arial"/>
          <w:sz w:val="22"/>
          <w:szCs w:val="22"/>
        </w:rPr>
        <w:tab/>
      </w:r>
      <w:r>
        <w:rPr>
          <w:rFonts w:hint="default" w:ascii="Arial" w:hAnsi="Arial" w:cs="Arial"/>
          <w:sz w:val="22"/>
          <w:szCs w:val="22"/>
        </w:rPr>
        <w:t>灯盘材质：碳素钢管铝合金拉伸型材</w:t>
      </w:r>
    </w:p>
    <w:p>
      <w:pPr>
        <w:ind w:firstLine="440" w:firstLineChars="200"/>
        <w:rPr>
          <w:rFonts w:hint="default" w:ascii="Arial" w:hAnsi="Arial" w:cs="Arial"/>
          <w:sz w:val="22"/>
          <w:szCs w:val="22"/>
        </w:rPr>
      </w:pPr>
      <w:r>
        <w:rPr>
          <w:rFonts w:hint="default" w:ascii="Arial" w:hAnsi="Arial" w:cs="Arial"/>
          <w:sz w:val="22"/>
          <w:szCs w:val="22"/>
        </w:rPr>
        <w:t>•</w:t>
      </w:r>
      <w:r>
        <w:rPr>
          <w:rFonts w:hint="default" w:ascii="Arial" w:hAnsi="Arial" w:cs="Arial"/>
          <w:sz w:val="22"/>
          <w:szCs w:val="22"/>
          <w:lang w:val="en-US" w:eastAsia="zh-CN"/>
        </w:rPr>
        <w:t xml:space="preserve">   </w:t>
      </w:r>
      <w:r>
        <w:rPr>
          <w:rFonts w:hint="default" w:ascii="Arial" w:hAnsi="Arial" w:cs="Arial"/>
          <w:sz w:val="22"/>
          <w:szCs w:val="22"/>
        </w:rPr>
        <w:t>连接 件：钢质镀梓或不锈钢</w:t>
      </w:r>
    </w:p>
    <w:p>
      <w:pPr>
        <w:ind w:firstLine="440" w:firstLineChars="200"/>
        <w:rPr>
          <w:rFonts w:hint="default" w:ascii="Arial" w:hAnsi="Arial" w:cs="Arial"/>
          <w:sz w:val="22"/>
          <w:szCs w:val="22"/>
        </w:rPr>
      </w:pPr>
      <w:r>
        <w:rPr>
          <w:rFonts w:hint="default" w:ascii="Arial" w:hAnsi="Arial" w:cs="Arial"/>
          <w:sz w:val="22"/>
          <w:szCs w:val="22"/>
        </w:rPr>
        <w:t>•</w:t>
      </w:r>
      <w:r>
        <w:rPr>
          <w:rFonts w:hint="default" w:ascii="Arial" w:hAnsi="Arial" w:cs="Arial"/>
          <w:sz w:val="22"/>
          <w:szCs w:val="22"/>
          <w:lang w:val="en-US" w:eastAsia="zh-CN"/>
        </w:rPr>
        <w:t xml:space="preserve">   </w:t>
      </w:r>
      <w:r>
        <w:rPr>
          <w:rFonts w:hint="default" w:ascii="Arial" w:hAnsi="Arial" w:cs="Arial"/>
          <w:sz w:val="22"/>
          <w:szCs w:val="22"/>
        </w:rPr>
        <w:t>升降系统：单卷筒 双卷筒</w:t>
      </w:r>
      <w:r>
        <w:rPr>
          <w:rFonts w:hint="default" w:ascii="Arial" w:hAnsi="Arial" w:cs="Arial"/>
          <w:sz w:val="22"/>
          <w:szCs w:val="22"/>
          <w:lang w:val="en-US" w:eastAsia="zh-CN"/>
        </w:rPr>
        <w:t xml:space="preserve"> </w:t>
      </w:r>
      <w:r>
        <w:rPr>
          <w:rFonts w:hint="default" w:ascii="Arial" w:hAnsi="Arial" w:cs="Arial"/>
          <w:sz w:val="22"/>
          <w:szCs w:val="22"/>
        </w:rPr>
        <w:t>多卷筒系列，皆</w:t>
      </w:r>
      <w:r>
        <w:rPr>
          <w:rFonts w:hint="default" w:ascii="Arial" w:hAnsi="Arial" w:cs="Arial"/>
          <w:sz w:val="22"/>
          <w:szCs w:val="22"/>
          <w:lang w:val="en-US" w:eastAsia="zh-CN"/>
        </w:rPr>
        <w:t>有</w:t>
      </w:r>
      <w:r>
        <w:rPr>
          <w:rFonts w:hint="default" w:ascii="Arial" w:hAnsi="Arial" w:cs="Arial"/>
          <w:sz w:val="22"/>
          <w:szCs w:val="22"/>
        </w:rPr>
        <w:t>动力内置和外置选项；高柔性不锈钢升降钢丝绳；</w:t>
      </w:r>
    </w:p>
    <w:p>
      <w:pPr>
        <w:ind w:firstLine="440" w:firstLineChars="200"/>
        <w:rPr>
          <w:rFonts w:hint="default" w:ascii="Arial" w:hAnsi="Arial" w:cs="Arial"/>
          <w:sz w:val="22"/>
          <w:szCs w:val="22"/>
          <w:lang w:val="en-US" w:eastAsia="zh-CN"/>
        </w:rPr>
      </w:pPr>
      <w:r>
        <w:rPr>
          <w:rFonts w:hint="default" w:ascii="Arial" w:hAnsi="Arial" w:cs="Arial"/>
          <w:sz w:val="22"/>
          <w:szCs w:val="22"/>
          <w:lang w:val="en-US" w:eastAsia="zh-CN"/>
        </w:rPr>
        <w:t>•</w:t>
      </w:r>
      <w:r>
        <w:rPr>
          <w:rFonts w:hint="default" w:ascii="Arial" w:hAnsi="Arial" w:cs="Arial"/>
          <w:sz w:val="22"/>
          <w:szCs w:val="22"/>
          <w:lang w:val="en-US" w:eastAsia="zh-CN"/>
        </w:rPr>
        <w:tab/>
      </w:r>
      <w:r>
        <w:rPr>
          <w:rFonts w:hint="default" w:ascii="Arial" w:hAnsi="Arial" w:cs="Arial"/>
          <w:sz w:val="22"/>
          <w:szCs w:val="22"/>
          <w:lang w:val="en-US" w:eastAsia="zh-CN"/>
        </w:rPr>
        <w:t>避雷系统：顶部避雷针，底部接地极，整体防雷接地电阻小于10Ω</w:t>
      </w:r>
    </w:p>
    <w:p>
      <w:pPr>
        <w:ind w:firstLine="440" w:firstLineChars="200"/>
        <w:rPr>
          <w:rFonts w:hint="default" w:ascii="Arial" w:hAnsi="Arial" w:cs="Arial"/>
          <w:sz w:val="22"/>
          <w:szCs w:val="22"/>
          <w:lang w:val="en-US" w:eastAsia="zh-CN"/>
        </w:rPr>
      </w:pPr>
      <w:r>
        <w:rPr>
          <w:rFonts w:hint="default" w:ascii="Arial" w:hAnsi="Arial" w:cs="Arial"/>
          <w:sz w:val="22"/>
          <w:szCs w:val="22"/>
          <w:lang w:val="en-US" w:eastAsia="zh-CN"/>
        </w:rPr>
        <w:t>•</w:t>
      </w:r>
      <w:r>
        <w:rPr>
          <w:rFonts w:hint="default" w:ascii="Arial" w:hAnsi="Arial" w:cs="Arial"/>
          <w:sz w:val="22"/>
          <w:szCs w:val="22"/>
          <w:lang w:val="en-US" w:eastAsia="zh-CN"/>
        </w:rPr>
        <w:tab/>
      </w:r>
      <w:r>
        <w:rPr>
          <w:rFonts w:hint="default" w:ascii="Arial" w:hAnsi="Arial" w:cs="Arial"/>
          <w:sz w:val="22"/>
          <w:szCs w:val="22"/>
          <w:lang w:val="en-US" w:eastAsia="zh-CN"/>
        </w:rPr>
        <w:t>维修和安全防护：底部维修小门，配专用钥匙和防盗重型锁</w:t>
      </w:r>
    </w:p>
    <w:p>
      <w:pPr>
        <w:ind w:left="860" w:leftChars="200" w:hanging="440" w:hangingChars="200"/>
        <w:rPr>
          <w:rFonts w:hint="default" w:ascii="Arial" w:hAnsi="Arial" w:cs="Arial"/>
          <w:sz w:val="22"/>
          <w:szCs w:val="22"/>
          <w:lang w:val="en-US" w:eastAsia="zh-CN"/>
        </w:rPr>
      </w:pPr>
      <w:r>
        <w:rPr>
          <w:rFonts w:hint="default" w:ascii="Arial" w:hAnsi="Arial" w:cs="Arial"/>
          <w:sz w:val="22"/>
          <w:szCs w:val="22"/>
          <w:lang w:val="en-US" w:eastAsia="zh-CN"/>
        </w:rPr>
        <w:t xml:space="preserve">•  </w:t>
      </w:r>
      <w:r>
        <w:rPr>
          <w:rFonts w:hint="default" w:ascii="Arial" w:hAnsi="Arial" w:cs="Arial"/>
          <w:sz w:val="22"/>
          <w:szCs w:val="22"/>
          <w:lang w:val="en-US" w:eastAsia="zh-CN"/>
        </w:rPr>
        <w:tab/>
      </w:r>
      <w:r>
        <w:rPr>
          <w:rFonts w:hint="default" w:ascii="Arial" w:hAnsi="Arial" w:cs="Arial"/>
          <w:sz w:val="22"/>
          <w:szCs w:val="22"/>
          <w:lang w:val="en-US" w:eastAsia="zh-CN"/>
        </w:rPr>
        <w:t>电气系统：内置电器控制箱，多种控制方式可选；多芯橡套供电电缆， 使用专用卡具与升降钢丝绳可靠连接，同步运行；专用电缆接插头</w:t>
      </w:r>
    </w:p>
    <w:p>
      <w:pPr>
        <w:ind w:left="860" w:leftChars="200" w:hanging="440" w:hangingChars="200"/>
        <w:rPr>
          <w:rFonts w:hint="default" w:ascii="Arial" w:hAnsi="Arial" w:cs="Arial"/>
          <w:sz w:val="22"/>
          <w:szCs w:val="22"/>
          <w:lang w:val="en-US" w:eastAsia="zh-CN"/>
        </w:rPr>
      </w:pPr>
      <w:r>
        <w:rPr>
          <w:rFonts w:hint="default" w:ascii="Arial" w:hAnsi="Arial" w:cs="Arial"/>
          <w:sz w:val="22"/>
          <w:szCs w:val="22"/>
          <w:lang w:val="en-US" w:eastAsia="zh-CN"/>
        </w:rPr>
        <w:t>•</w:t>
      </w:r>
      <w:r>
        <w:rPr>
          <w:rFonts w:hint="default" w:ascii="Arial" w:hAnsi="Arial" w:cs="Arial"/>
          <w:sz w:val="22"/>
          <w:szCs w:val="22"/>
          <w:lang w:val="en-US" w:eastAsia="zh-CN"/>
        </w:rPr>
        <w:tab/>
      </w:r>
      <w:r>
        <w:rPr>
          <w:rFonts w:hint="default" w:ascii="Arial" w:hAnsi="Arial" w:cs="Arial"/>
          <w:sz w:val="22"/>
          <w:szCs w:val="22"/>
          <w:lang w:val="en-US" w:eastAsia="zh-CN"/>
        </w:rPr>
        <w:t>维修配件：距离地面1.5-2m高度上配有活动支架，当灯盘降下时，可稳固地将其承托，令钢丝绳完全卸载，以便进行各种维修维护工作</w:t>
      </w:r>
    </w:p>
    <w:p>
      <w:pPr>
        <w:ind w:firstLine="440" w:firstLineChars="200"/>
        <w:rPr>
          <w:rFonts w:hint="default" w:ascii="Arial" w:hAnsi="Arial" w:cs="Arial"/>
          <w:sz w:val="22"/>
          <w:szCs w:val="22"/>
          <w:lang w:val="en-US" w:eastAsia="zh-CN"/>
        </w:rPr>
      </w:pPr>
      <w:r>
        <w:rPr>
          <w:rFonts w:hint="default" w:ascii="Arial" w:hAnsi="Arial" w:cs="Arial"/>
          <w:sz w:val="22"/>
          <w:szCs w:val="22"/>
          <w:lang w:val="en-US" w:eastAsia="zh-CN"/>
        </w:rPr>
        <w:t>•</w:t>
      </w:r>
      <w:r>
        <w:rPr>
          <w:rFonts w:hint="default" w:ascii="Arial" w:hAnsi="Arial" w:cs="Arial"/>
          <w:sz w:val="22"/>
          <w:szCs w:val="22"/>
          <w:lang w:val="en-US" w:eastAsia="zh-CN"/>
        </w:rPr>
        <w:tab/>
      </w:r>
      <w:r>
        <w:rPr>
          <w:rFonts w:hint="default" w:ascii="Arial" w:hAnsi="Arial" w:cs="Arial"/>
          <w:sz w:val="22"/>
          <w:szCs w:val="22"/>
          <w:lang w:val="en-US" w:eastAsia="zh-CN"/>
        </w:rPr>
        <w:t>防腐处理：整体热浸镀锌，符合国标GB/T13912</w:t>
      </w:r>
    </w:p>
    <w:p>
      <w:pPr>
        <w:ind w:firstLine="880" w:firstLineChars="400"/>
        <w:rPr>
          <w:rFonts w:hint="default" w:ascii="Arial" w:hAnsi="Arial" w:cs="Arial"/>
          <w:sz w:val="22"/>
          <w:szCs w:val="22"/>
          <w:lang w:val="en-US" w:eastAsia="zh-CN"/>
        </w:rPr>
      </w:pPr>
      <w:r>
        <w:rPr>
          <w:rFonts w:hint="default" w:ascii="Arial" w:hAnsi="Arial" w:cs="Arial"/>
          <w:sz w:val="22"/>
          <w:szCs w:val="22"/>
          <w:lang w:val="en-US" w:eastAsia="zh-CN"/>
        </w:rPr>
        <w:t>使用寿命：30年</w:t>
      </w:r>
    </w:p>
    <w:p>
      <w:pPr>
        <w:ind w:firstLine="880" w:firstLineChars="400"/>
        <w:rPr>
          <w:rFonts w:hint="default" w:ascii="Arial" w:hAnsi="Arial" w:cs="Arial"/>
          <w:sz w:val="22"/>
          <w:szCs w:val="22"/>
          <w:lang w:val="en-US" w:eastAsia="zh-CN"/>
        </w:rPr>
      </w:pPr>
      <w:r>
        <w:rPr>
          <w:rFonts w:hint="default" w:ascii="Arial" w:hAnsi="Arial" w:cs="Arial"/>
          <w:sz w:val="22"/>
          <w:szCs w:val="22"/>
          <w:lang w:val="en-US" w:eastAsia="zh-CN"/>
        </w:rPr>
        <w:t>航空障碍灯：2套 （选配）</w:t>
      </w:r>
    </w:p>
    <w:p>
      <w:pPr>
        <w:ind w:firstLine="840" w:firstLineChars="400"/>
        <w:rPr>
          <w:rFonts w:hint="default"/>
          <w:lang w:val="en-US" w:eastAsia="zh-CN"/>
        </w:rPr>
      </w:pPr>
    </w:p>
    <w:p>
      <w:pPr>
        <w:ind w:firstLine="840" w:firstLineChars="400"/>
      </w:pPr>
      <w:r>
        <w:drawing>
          <wp:inline distT="0" distB="0" distL="114300" distR="114300">
            <wp:extent cx="5032375" cy="3552825"/>
            <wp:effectExtent l="0" t="0" r="158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032375" cy="3552825"/>
                    </a:xfrm>
                    <a:prstGeom prst="rect">
                      <a:avLst/>
                    </a:prstGeom>
                    <a:noFill/>
                    <a:ln>
                      <a:noFill/>
                    </a:ln>
                  </pic:spPr>
                </pic:pic>
              </a:graphicData>
            </a:graphic>
          </wp:inline>
        </w:drawing>
      </w:r>
    </w:p>
    <w:p>
      <w:pPr>
        <w:ind w:firstLine="840" w:firstLineChars="400"/>
      </w:pPr>
    </w:p>
    <w:p>
      <w:pPr>
        <w:ind w:firstLine="840" w:firstLineChars="400"/>
      </w:pPr>
    </w:p>
    <w:p/>
    <w:p>
      <w:pPr>
        <w:ind w:firstLine="442" w:firstLineChars="200"/>
        <w:rPr>
          <w:rFonts w:hint="default" w:ascii="Arial" w:hAnsi="Arial" w:cs="Arial" w:eastAsiaTheme="minorEastAsia"/>
          <w:b/>
          <w:bCs/>
          <w:sz w:val="22"/>
          <w:szCs w:val="22"/>
          <w:lang w:val="en-US" w:eastAsia="zh-CN"/>
        </w:rPr>
      </w:pPr>
      <w:r>
        <w:rPr>
          <w:rFonts w:hint="default" w:ascii="Arial" w:hAnsi="Arial" w:cs="Arial"/>
          <w:b/>
          <w:bCs/>
          <w:sz w:val="22"/>
          <w:szCs w:val="22"/>
          <w:lang w:val="en-US" w:eastAsia="zh-CN"/>
        </w:rPr>
        <w:t>机场专用照明灯具</w:t>
      </w:r>
    </w:p>
    <w:p>
      <w:pPr>
        <w:ind w:firstLine="880" w:firstLineChars="400"/>
        <w:rPr>
          <w:rFonts w:hint="default" w:ascii="Arial" w:hAnsi="Arial" w:cs="Arial"/>
          <w:sz w:val="22"/>
          <w:szCs w:val="22"/>
          <w:lang w:val="en-US" w:eastAsia="zh-CN"/>
        </w:rPr>
      </w:pPr>
      <w:r>
        <w:rPr>
          <w:rFonts w:hint="default" w:ascii="Arial" w:hAnsi="Arial" w:cs="Arial"/>
          <w:sz w:val="22"/>
          <w:szCs w:val="22"/>
          <w:lang w:val="en-US" w:eastAsia="zh-CN"/>
        </w:rPr>
        <w:t>FL800R-LED</w:t>
      </w:r>
    </w:p>
    <w:p>
      <w:pPr>
        <w:ind w:firstLine="880" w:firstLineChars="400"/>
        <w:rPr>
          <w:rFonts w:hint="default" w:ascii="Arial" w:hAnsi="Arial" w:cs="Arial"/>
          <w:sz w:val="22"/>
          <w:szCs w:val="22"/>
          <w:lang w:val="en-US" w:eastAsia="zh-CN"/>
        </w:rPr>
      </w:pPr>
      <w:r>
        <w:rPr>
          <w:rFonts w:hint="default" w:ascii="Arial" w:hAnsi="Arial" w:cs="Arial"/>
          <w:sz w:val="22"/>
          <w:szCs w:val="22"/>
          <w:lang w:val="en-US" w:eastAsia="zh-CN"/>
        </w:rPr>
        <w:t>FL800R泛光灯系统为大面积照明提供了全新的解决方案。FL800R可由LED模块形成单</w:t>
      </w:r>
      <w:r>
        <w:rPr>
          <w:rFonts w:hint="default" w:ascii="Arial" w:hAnsi="Arial" w:cs="Arial"/>
          <w:sz w:val="22"/>
          <w:szCs w:val="22"/>
        </w:rPr>
        <w:drawing>
          <wp:anchor distT="0" distB="0" distL="114300" distR="114300" simplePos="0" relativeHeight="251660288" behindDoc="0" locked="0" layoutInCell="1" allowOverlap="1">
            <wp:simplePos x="0" y="0"/>
            <wp:positionH relativeFrom="column">
              <wp:posOffset>3333750</wp:posOffset>
            </wp:positionH>
            <wp:positionV relativeFrom="paragraph">
              <wp:posOffset>57150</wp:posOffset>
            </wp:positionV>
            <wp:extent cx="2105660" cy="464439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2105660" cy="4644390"/>
                    </a:xfrm>
                    <a:prstGeom prst="rect">
                      <a:avLst/>
                    </a:prstGeom>
                    <a:noFill/>
                    <a:ln>
                      <a:noFill/>
                    </a:ln>
                  </pic:spPr>
                </pic:pic>
              </a:graphicData>
            </a:graphic>
          </wp:anchor>
        </w:drawing>
      </w:r>
      <w:r>
        <w:rPr>
          <w:rFonts w:hint="default" w:ascii="Arial" w:hAnsi="Arial" w:cs="Arial"/>
          <w:sz w:val="22"/>
          <w:szCs w:val="22"/>
          <w:lang w:val="en-US" w:eastAsia="zh-CN"/>
        </w:rPr>
        <w:t>组、双组、三组和四组等多种不同配置，形成一个照明系统。安装在灯杆上之后可以随意调节仰角/方位角实现全方位的照明。每个模块可独立选择多种配光类型的一种，结合独立的仰角，使得整个系统配光极其灵活，以满足最具挑战性的照明任务。</w:t>
      </w:r>
    </w:p>
    <w:p>
      <w:pPr>
        <w:ind w:firstLine="880" w:firstLineChars="400"/>
        <w:rPr>
          <w:rFonts w:hint="default" w:ascii="Arial" w:hAnsi="Arial" w:cs="Arial"/>
          <w:sz w:val="22"/>
          <w:szCs w:val="22"/>
          <w:lang w:val="en-US" w:eastAsia="zh-CN"/>
        </w:rPr>
      </w:pPr>
      <w:r>
        <w:rPr>
          <w:rFonts w:hint="default" w:ascii="Arial" w:hAnsi="Arial" w:cs="Arial"/>
          <w:sz w:val="22"/>
          <w:szCs w:val="22"/>
          <w:lang w:val="en-US" w:eastAsia="zh-CN"/>
        </w:rPr>
        <w:t>FL800R使用先进的AeroFlow®散热系统，以提供卓越的热管理性能，最大化的散热效果使得灯具可以设计的更为紧凑、轻量化和低风阻，使之能安装在现有高杆上。</w:t>
      </w:r>
    </w:p>
    <w:p>
      <w:pPr>
        <w:ind w:firstLine="880" w:firstLineChars="400"/>
        <w:rPr>
          <w:rFonts w:hint="default" w:ascii="Arial" w:hAnsi="Arial" w:cs="Arial"/>
          <w:sz w:val="22"/>
          <w:szCs w:val="22"/>
          <w:lang w:val="en-US" w:eastAsia="zh-CN"/>
        </w:rPr>
      </w:pPr>
      <w:r>
        <w:rPr>
          <w:rFonts w:hint="default" w:ascii="Arial" w:hAnsi="Arial" w:cs="Arial"/>
          <w:sz w:val="22"/>
          <w:szCs w:val="22"/>
          <w:lang w:val="en-US" w:eastAsia="zh-CN"/>
        </w:rPr>
        <w:t>LUXEON®技术和AeroFlow®系统相结合，提供高光效输出的同时在整个使用寿命过程中的光衰也降至最低，显著减少能耗和运行成本。</w:t>
      </w:r>
    </w:p>
    <w:p>
      <w:pPr>
        <w:ind w:firstLine="880" w:firstLineChars="400"/>
        <w:rPr>
          <w:rFonts w:hint="default" w:ascii="Arial" w:hAnsi="Arial" w:cs="Arial"/>
          <w:sz w:val="22"/>
          <w:szCs w:val="22"/>
          <w:lang w:val="en-US" w:eastAsia="zh-CN"/>
        </w:rPr>
      </w:pPr>
      <w:r>
        <w:rPr>
          <w:rFonts w:hint="default" w:ascii="Arial" w:hAnsi="Arial" w:cs="Arial"/>
          <w:sz w:val="22"/>
          <w:szCs w:val="22"/>
          <w:lang w:val="en-US" w:eastAsia="zh-CN"/>
        </w:rPr>
        <w:t>AeroFlow®以其高性能、多功能性、可靠性为替代传统HID光源提供了极具竞争力的解决方案。</w:t>
      </w:r>
    </w:p>
    <w:p>
      <w:pPr>
        <w:ind w:firstLine="880" w:firstLineChars="400"/>
        <w:rPr>
          <w:rFonts w:hint="default" w:ascii="Arial" w:hAnsi="Arial" w:cs="Arial"/>
          <w:sz w:val="22"/>
          <w:szCs w:val="22"/>
          <w:lang w:val="en-US" w:eastAsia="zh-CN"/>
        </w:rPr>
      </w:pPr>
    </w:p>
    <w:p>
      <w:pPr>
        <w:ind w:firstLine="880" w:firstLineChars="400"/>
        <w:rPr>
          <w:rFonts w:hint="default" w:ascii="Arial" w:hAnsi="Arial" w:cs="Arial"/>
          <w:sz w:val="22"/>
          <w:szCs w:val="22"/>
          <w:lang w:val="en-US" w:eastAsia="zh-CN"/>
        </w:rPr>
      </w:pPr>
    </w:p>
    <w:p>
      <w:pPr>
        <w:rPr>
          <w:rFonts w:hint="default" w:ascii="Arial" w:hAnsi="Arial" w:cs="Arial"/>
          <w:sz w:val="22"/>
          <w:szCs w:val="22"/>
          <w:lang w:val="en-US" w:eastAsia="zh-CN"/>
        </w:rPr>
      </w:pPr>
    </w:p>
    <w:p>
      <w:pPr>
        <w:ind w:firstLine="880" w:firstLineChars="400"/>
        <w:rPr>
          <w:rFonts w:hint="default" w:ascii="Arial" w:hAnsi="Arial" w:cs="Arial"/>
          <w:sz w:val="22"/>
          <w:szCs w:val="22"/>
          <w:lang w:val="en-US" w:eastAsia="zh-CN"/>
        </w:rPr>
      </w:pPr>
    </w:p>
    <w:p>
      <w:pPr>
        <w:rPr>
          <w:rFonts w:hint="default" w:ascii="Arial" w:hAnsi="Arial" w:cs="Arial"/>
          <w:sz w:val="22"/>
          <w:szCs w:val="22"/>
          <w:lang w:val="en-US" w:eastAsia="zh-CN"/>
        </w:rPr>
      </w:pPr>
      <w:r>
        <w:rPr>
          <w:rFonts w:hint="default" w:ascii="Arial" w:hAnsi="Arial" w:cs="Arial"/>
          <w:sz w:val="22"/>
          <w:szCs w:val="22"/>
          <w:lang w:val="en-US" w:eastAsia="zh-CN"/>
        </w:rPr>
        <w:t>性能特性：</w:t>
      </w:r>
    </w:p>
    <w:p>
      <w:pPr>
        <w:rPr>
          <w:rFonts w:hint="default" w:ascii="Arial" w:hAnsi="Arial" w:cs="Arial"/>
          <w:sz w:val="22"/>
          <w:szCs w:val="22"/>
          <w:lang w:val="en-US" w:eastAsia="zh-CN"/>
        </w:rPr>
      </w:pPr>
      <w:r>
        <w:rPr>
          <w:rFonts w:hint="default" w:ascii="Arial" w:hAnsi="Arial" w:cs="Arial"/>
          <w:sz w:val="22"/>
          <w:szCs w:val="22"/>
          <w:lang w:val="en-US" w:eastAsia="zh-CN"/>
        </w:rPr>
        <w:t>•</w:t>
      </w:r>
      <w:r>
        <w:rPr>
          <w:rFonts w:hint="default" w:ascii="Arial" w:hAnsi="Arial" w:cs="Arial"/>
          <w:sz w:val="22"/>
          <w:szCs w:val="22"/>
          <w:lang w:val="en-US" w:eastAsia="zh-CN"/>
        </w:rPr>
        <w:tab/>
      </w:r>
      <w:r>
        <w:rPr>
          <w:rFonts w:hint="default" w:ascii="Arial" w:hAnsi="Arial" w:cs="Arial"/>
          <w:sz w:val="22"/>
          <w:szCs w:val="22"/>
          <w:lang w:val="en-US" w:eastAsia="zh-CN"/>
        </w:rPr>
        <w:t xml:space="preserve">LM6高压铸铝灯体 </w:t>
      </w:r>
    </w:p>
    <w:p>
      <w:pPr>
        <w:rPr>
          <w:rFonts w:hint="default" w:ascii="Arial" w:hAnsi="Arial" w:cs="Arial"/>
          <w:sz w:val="22"/>
          <w:szCs w:val="22"/>
          <w:lang w:val="en-US" w:eastAsia="zh-CN"/>
        </w:rPr>
      </w:pPr>
      <w:r>
        <w:rPr>
          <w:rFonts w:hint="default" w:ascii="Arial" w:hAnsi="Arial" w:cs="Arial"/>
          <w:sz w:val="22"/>
          <w:szCs w:val="22"/>
          <w:lang w:val="en-US" w:eastAsia="zh-CN"/>
        </w:rPr>
        <w:t>•</w:t>
      </w:r>
      <w:r>
        <w:rPr>
          <w:rFonts w:hint="default" w:ascii="Arial" w:hAnsi="Arial" w:cs="Arial"/>
          <w:sz w:val="22"/>
          <w:szCs w:val="22"/>
          <w:lang w:val="en-US" w:eastAsia="zh-CN"/>
        </w:rPr>
        <w:tab/>
      </w:r>
      <w:r>
        <w:rPr>
          <w:rFonts w:hint="default" w:ascii="Arial" w:hAnsi="Arial" w:cs="Arial"/>
          <w:sz w:val="22"/>
          <w:szCs w:val="22"/>
          <w:lang w:val="en-US" w:eastAsia="zh-CN"/>
        </w:rPr>
        <w:t xml:space="preserve">Lumileds LUXEON⑧M芯片       </w:t>
      </w:r>
    </w:p>
    <w:p>
      <w:pPr>
        <w:rPr>
          <w:rFonts w:hint="default" w:ascii="Arial" w:hAnsi="Arial" w:cs="Arial"/>
          <w:sz w:val="22"/>
          <w:szCs w:val="22"/>
          <w:lang w:val="en-US" w:eastAsia="zh-CN"/>
        </w:rPr>
      </w:pPr>
      <w:r>
        <w:rPr>
          <w:rFonts w:hint="default" w:ascii="Arial" w:hAnsi="Arial" w:cs="Arial"/>
          <w:sz w:val="22"/>
          <w:szCs w:val="22"/>
          <w:lang w:val="en-US" w:eastAsia="zh-CN"/>
        </w:rPr>
        <w:t>•</w:t>
      </w:r>
      <w:r>
        <w:rPr>
          <w:rFonts w:hint="default" w:ascii="Arial" w:hAnsi="Arial" w:cs="Arial"/>
          <w:sz w:val="22"/>
          <w:szCs w:val="22"/>
          <w:lang w:val="en-US" w:eastAsia="zh-CN"/>
        </w:rPr>
        <w:tab/>
      </w:r>
      <w:r>
        <w:rPr>
          <w:rFonts w:hint="default" w:ascii="Arial" w:hAnsi="Arial" w:cs="Arial"/>
          <w:sz w:val="22"/>
          <w:szCs w:val="22"/>
          <w:lang w:val="en-US" w:eastAsia="zh-CN"/>
        </w:rPr>
        <w:t>高光通与高光效</w:t>
      </w:r>
    </w:p>
    <w:p>
      <w:pPr>
        <w:rPr>
          <w:rFonts w:hint="default" w:ascii="Arial" w:hAnsi="Arial" w:cs="Arial"/>
          <w:sz w:val="22"/>
          <w:szCs w:val="22"/>
          <w:lang w:val="en-US" w:eastAsia="zh-CN"/>
        </w:rPr>
      </w:pPr>
      <w:r>
        <w:rPr>
          <w:rFonts w:hint="default" w:ascii="Arial" w:hAnsi="Arial" w:cs="Arial"/>
          <w:sz w:val="22"/>
          <w:szCs w:val="22"/>
          <w:lang w:val="en-US" w:eastAsia="zh-CN"/>
        </w:rPr>
        <w:t>•</w:t>
      </w:r>
      <w:r>
        <w:rPr>
          <w:rFonts w:hint="default" w:ascii="Arial" w:hAnsi="Arial" w:cs="Arial"/>
          <w:sz w:val="22"/>
          <w:szCs w:val="22"/>
          <w:lang w:val="en-US" w:eastAsia="zh-CN"/>
        </w:rPr>
        <w:tab/>
      </w:r>
      <w:r>
        <w:rPr>
          <w:rFonts w:hint="default" w:ascii="Arial" w:hAnsi="Arial" w:cs="Arial"/>
          <w:sz w:val="22"/>
          <w:szCs w:val="22"/>
          <w:lang w:val="en-US" w:eastAsia="zh-CN"/>
        </w:rPr>
        <w:t>最高的灯真光效可以达 1271m/W  •</w:t>
      </w:r>
      <w:r>
        <w:rPr>
          <w:rFonts w:hint="default" w:ascii="Arial" w:hAnsi="Arial" w:cs="Arial"/>
          <w:sz w:val="22"/>
          <w:szCs w:val="22"/>
          <w:lang w:val="en-US" w:eastAsia="zh-CN"/>
        </w:rPr>
        <w:tab/>
      </w:r>
      <w:r>
        <w:rPr>
          <w:rFonts w:hint="default" w:ascii="Arial" w:hAnsi="Arial" w:cs="Arial"/>
          <w:sz w:val="22"/>
          <w:szCs w:val="22"/>
          <w:lang w:val="en-US" w:eastAsia="zh-CN"/>
        </w:rPr>
        <w:t xml:space="preserve"> 低碳低能源消耗</w:t>
      </w:r>
    </w:p>
    <w:p>
      <w:pPr>
        <w:rPr>
          <w:rFonts w:hint="default" w:ascii="Arial" w:hAnsi="Arial" w:cs="Arial"/>
          <w:sz w:val="22"/>
          <w:szCs w:val="22"/>
          <w:lang w:val="en-US" w:eastAsia="zh-CN"/>
        </w:rPr>
      </w:pPr>
      <w:r>
        <w:rPr>
          <w:rFonts w:hint="default" w:ascii="Arial" w:hAnsi="Arial" w:cs="Arial"/>
          <w:sz w:val="22"/>
          <w:szCs w:val="22"/>
          <w:lang w:val="en-US" w:eastAsia="zh-CN"/>
        </w:rPr>
        <w:t>•</w:t>
      </w:r>
      <w:r>
        <w:rPr>
          <w:rFonts w:hint="default" w:ascii="Arial" w:hAnsi="Arial" w:cs="Arial"/>
          <w:sz w:val="22"/>
          <w:szCs w:val="22"/>
          <w:lang w:val="en-US" w:eastAsia="zh-CN"/>
        </w:rPr>
        <w:tab/>
      </w:r>
      <w:r>
        <w:rPr>
          <w:rFonts w:hint="default" w:ascii="Arial" w:hAnsi="Arial" w:cs="Arial"/>
          <w:sz w:val="22"/>
          <w:szCs w:val="22"/>
          <w:lang w:val="en-US" w:eastAsia="zh-CN"/>
        </w:rPr>
        <w:t>高显色指数（CRI&gt;70 )            •</w:t>
      </w:r>
      <w:r>
        <w:rPr>
          <w:rFonts w:hint="default" w:ascii="Arial" w:hAnsi="Arial" w:cs="Arial"/>
          <w:sz w:val="22"/>
          <w:szCs w:val="22"/>
          <w:lang w:val="en-US" w:eastAsia="zh-CN"/>
        </w:rPr>
        <w:tab/>
      </w:r>
      <w:r>
        <w:rPr>
          <w:rFonts w:hint="default" w:ascii="Arial" w:hAnsi="Arial" w:cs="Arial"/>
          <w:sz w:val="22"/>
          <w:szCs w:val="22"/>
          <w:lang w:val="en-US" w:eastAsia="zh-CN"/>
        </w:rPr>
        <w:t xml:space="preserve"> 增强安全性与视觉性能</w:t>
      </w:r>
    </w:p>
    <w:p>
      <w:pPr>
        <w:rPr>
          <w:rFonts w:hint="default" w:ascii="Arial" w:hAnsi="Arial" w:cs="Arial"/>
          <w:sz w:val="22"/>
          <w:szCs w:val="22"/>
          <w:lang w:val="en-US" w:eastAsia="zh-CN"/>
        </w:rPr>
      </w:pPr>
      <w:r>
        <w:rPr>
          <w:rFonts w:hint="default" w:ascii="Arial" w:hAnsi="Arial" w:cs="Arial"/>
          <w:sz w:val="22"/>
          <w:szCs w:val="22"/>
          <w:lang w:val="en-US" w:eastAsia="zh-CN"/>
        </w:rPr>
        <w:t>•</w:t>
      </w:r>
      <w:r>
        <w:rPr>
          <w:rFonts w:hint="default" w:ascii="Arial" w:hAnsi="Arial" w:cs="Arial"/>
          <w:sz w:val="22"/>
          <w:szCs w:val="22"/>
          <w:lang w:val="en-US" w:eastAsia="zh-CN"/>
        </w:rPr>
        <w:tab/>
      </w:r>
      <w:r>
        <w:rPr>
          <w:rFonts w:hint="default" w:ascii="Arial" w:hAnsi="Arial" w:cs="Arial"/>
          <w:sz w:val="22"/>
          <w:szCs w:val="22"/>
          <w:lang w:val="en-US" w:eastAsia="zh-CN"/>
        </w:rPr>
        <w:t>恒定光输出（CLO)               •</w:t>
      </w:r>
      <w:r>
        <w:rPr>
          <w:rFonts w:hint="default" w:ascii="Arial" w:hAnsi="Arial" w:cs="Arial"/>
          <w:sz w:val="22"/>
          <w:szCs w:val="22"/>
          <w:lang w:val="en-US" w:eastAsia="zh-CN"/>
        </w:rPr>
        <w:tab/>
      </w:r>
      <w:r>
        <w:rPr>
          <w:rFonts w:hint="default" w:ascii="Arial" w:hAnsi="Arial" w:cs="Arial"/>
          <w:sz w:val="22"/>
          <w:szCs w:val="22"/>
          <w:lang w:val="en-US" w:eastAsia="zh-CN"/>
        </w:rPr>
        <w:t xml:space="preserve"> 减小过度的照明，进一步节能</w:t>
      </w:r>
    </w:p>
    <w:p>
      <w:pPr>
        <w:rPr>
          <w:rFonts w:hint="default" w:ascii="Arial" w:hAnsi="Arial" w:cs="Arial"/>
          <w:sz w:val="22"/>
          <w:szCs w:val="22"/>
          <w:lang w:val="en-US" w:eastAsia="zh-CN"/>
        </w:rPr>
      </w:pPr>
      <w:r>
        <w:rPr>
          <w:rFonts w:hint="default" w:ascii="Arial" w:hAnsi="Arial" w:cs="Arial"/>
          <w:sz w:val="22"/>
          <w:szCs w:val="22"/>
          <w:lang w:val="en-US" w:eastAsia="zh-CN"/>
        </w:rPr>
        <w:t>•</w:t>
      </w:r>
      <w:r>
        <w:rPr>
          <w:rFonts w:hint="default" w:ascii="Arial" w:hAnsi="Arial" w:cs="Arial"/>
          <w:sz w:val="22"/>
          <w:szCs w:val="22"/>
          <w:lang w:val="en-US" w:eastAsia="zh-CN"/>
        </w:rPr>
        <w:tab/>
      </w:r>
      <w:r>
        <w:rPr>
          <w:rFonts w:hint="default" w:ascii="Arial" w:hAnsi="Arial" w:cs="Arial"/>
          <w:sz w:val="22"/>
          <w:szCs w:val="22"/>
          <w:lang w:val="en-US" w:eastAsia="zh-CN"/>
        </w:rPr>
        <w:t>瞬间启动                        •</w:t>
      </w:r>
      <w:r>
        <w:rPr>
          <w:rFonts w:hint="default" w:ascii="Arial" w:hAnsi="Arial" w:cs="Arial"/>
          <w:sz w:val="22"/>
          <w:szCs w:val="22"/>
          <w:lang w:val="en-US" w:eastAsia="zh-CN"/>
        </w:rPr>
        <w:tab/>
      </w:r>
      <w:r>
        <w:rPr>
          <w:rFonts w:hint="default" w:ascii="Arial" w:hAnsi="Arial" w:cs="Arial"/>
          <w:sz w:val="22"/>
          <w:szCs w:val="22"/>
          <w:lang w:val="en-US" w:eastAsia="zh-CN"/>
        </w:rPr>
        <w:t>适用于高安全性与关键项目的照明任务</w:t>
      </w:r>
    </w:p>
    <w:p>
      <w:pPr>
        <w:rPr>
          <w:rFonts w:hint="default" w:ascii="Arial" w:hAnsi="Arial" w:cs="Arial"/>
          <w:sz w:val="22"/>
          <w:szCs w:val="22"/>
          <w:lang w:val="en-US" w:eastAsia="zh-CN"/>
        </w:rPr>
      </w:pPr>
      <w:r>
        <w:rPr>
          <w:rFonts w:hint="default" w:ascii="Arial" w:hAnsi="Arial" w:cs="Arial"/>
          <w:sz w:val="22"/>
          <w:szCs w:val="22"/>
          <w:lang w:val="en-US" w:eastAsia="zh-CN"/>
        </w:rPr>
        <w:t>•</w:t>
      </w:r>
      <w:r>
        <w:rPr>
          <w:rFonts w:hint="default" w:ascii="Arial" w:hAnsi="Arial" w:cs="Arial"/>
          <w:sz w:val="22"/>
          <w:szCs w:val="22"/>
          <w:lang w:val="en-US" w:eastAsia="zh-CN"/>
        </w:rPr>
        <w:tab/>
      </w:r>
      <w:r>
        <w:rPr>
          <w:rFonts w:hint="default" w:ascii="Arial" w:hAnsi="Arial" w:cs="Arial"/>
          <w:sz w:val="22"/>
          <w:szCs w:val="22"/>
          <w:lang w:val="en-US" w:eastAsia="zh-CN"/>
        </w:rPr>
        <w:t>Aero Flow⑧散热系统             •</w:t>
      </w:r>
      <w:r>
        <w:rPr>
          <w:rFonts w:hint="default" w:ascii="Arial" w:hAnsi="Arial" w:cs="Arial"/>
          <w:sz w:val="22"/>
          <w:szCs w:val="22"/>
          <w:lang w:val="en-US" w:eastAsia="zh-CN"/>
        </w:rPr>
        <w:tab/>
      </w:r>
      <w:r>
        <w:rPr>
          <w:rFonts w:hint="default" w:ascii="Arial" w:hAnsi="Arial" w:cs="Arial"/>
          <w:sz w:val="22"/>
          <w:szCs w:val="22"/>
          <w:lang w:val="en-US" w:eastAsia="zh-CN"/>
        </w:rPr>
        <w:t>L80寿命＞100 ,000小时（ 700mA, Ta=45℃）</w:t>
      </w:r>
    </w:p>
    <w:p>
      <w:pPr>
        <w:rPr>
          <w:rFonts w:hint="default" w:ascii="Arial" w:hAnsi="Arial" w:cs="Arial"/>
          <w:sz w:val="22"/>
          <w:szCs w:val="22"/>
          <w:lang w:val="en-US" w:eastAsia="zh-CN"/>
        </w:rPr>
      </w:pPr>
      <w:r>
        <w:rPr>
          <w:rFonts w:hint="default" w:ascii="Arial" w:hAnsi="Arial" w:cs="Arial"/>
          <w:sz w:val="22"/>
          <w:szCs w:val="22"/>
          <w:lang w:val="en-US" w:eastAsia="zh-CN"/>
        </w:rPr>
        <w:t>•</w:t>
      </w:r>
      <w:r>
        <w:rPr>
          <w:rFonts w:hint="default" w:ascii="Arial" w:hAnsi="Arial" w:cs="Arial"/>
          <w:sz w:val="22"/>
          <w:szCs w:val="22"/>
          <w:lang w:val="en-US" w:eastAsia="zh-CN"/>
        </w:rPr>
        <w:tab/>
      </w:r>
      <w:r>
        <w:rPr>
          <w:rFonts w:hint="default" w:ascii="Arial" w:hAnsi="Arial" w:cs="Arial"/>
          <w:sz w:val="22"/>
          <w:szCs w:val="22"/>
          <w:lang w:val="en-US" w:eastAsia="zh-CN"/>
        </w:rPr>
        <w:t>可拆卸电器腔                    •</w:t>
      </w:r>
      <w:r>
        <w:rPr>
          <w:rFonts w:hint="default" w:ascii="Arial" w:hAnsi="Arial" w:cs="Arial"/>
          <w:sz w:val="22"/>
          <w:szCs w:val="22"/>
          <w:lang w:val="en-US" w:eastAsia="zh-CN"/>
        </w:rPr>
        <w:tab/>
      </w:r>
      <w:r>
        <w:rPr>
          <w:rFonts w:hint="default" w:ascii="Arial" w:hAnsi="Arial" w:cs="Arial"/>
          <w:sz w:val="22"/>
          <w:szCs w:val="22"/>
          <w:lang w:val="en-US" w:eastAsia="zh-CN"/>
        </w:rPr>
        <w:t xml:space="preserve"> 安装方式灵活降低成本</w:t>
      </w:r>
    </w:p>
    <w:p>
      <w:pPr>
        <w:rPr>
          <w:rFonts w:hint="default" w:ascii="Arial" w:hAnsi="Arial" w:cs="Arial"/>
          <w:sz w:val="22"/>
          <w:szCs w:val="22"/>
          <w:lang w:val="en-US" w:eastAsia="zh-CN"/>
        </w:rPr>
      </w:pPr>
      <w:r>
        <w:rPr>
          <w:rFonts w:hint="default" w:ascii="Arial" w:hAnsi="Arial" w:cs="Arial"/>
          <w:sz w:val="22"/>
          <w:szCs w:val="22"/>
          <w:lang w:val="en-US" w:eastAsia="zh-CN"/>
        </w:rPr>
        <w:t>•</w:t>
      </w:r>
      <w:r>
        <w:rPr>
          <w:rFonts w:hint="default" w:ascii="Arial" w:hAnsi="Arial" w:cs="Arial"/>
          <w:sz w:val="22"/>
          <w:szCs w:val="22"/>
          <w:lang w:val="en-US" w:eastAsia="zh-CN"/>
        </w:rPr>
        <w:tab/>
      </w:r>
      <w:r>
        <w:rPr>
          <w:rFonts w:hint="default" w:ascii="Arial" w:hAnsi="Arial" w:cs="Arial"/>
          <w:sz w:val="22"/>
          <w:szCs w:val="22"/>
          <w:lang w:val="en-US" w:eastAsia="zh-CN"/>
        </w:rPr>
        <w:t>低风阻                          •</w:t>
      </w:r>
      <w:r>
        <w:rPr>
          <w:rFonts w:hint="default" w:ascii="Arial" w:hAnsi="Arial" w:cs="Arial"/>
          <w:sz w:val="22"/>
          <w:szCs w:val="22"/>
          <w:lang w:val="en-US" w:eastAsia="zh-CN"/>
        </w:rPr>
        <w:tab/>
      </w:r>
      <w:r>
        <w:rPr>
          <w:rFonts w:hint="default" w:ascii="Arial" w:hAnsi="Arial" w:cs="Arial"/>
          <w:sz w:val="22"/>
          <w:szCs w:val="22"/>
          <w:lang w:val="en-US" w:eastAsia="zh-CN"/>
        </w:rPr>
        <w:t>可安装在已有的高杆／灯杆上</w:t>
      </w:r>
    </w:p>
    <w:p>
      <w:pPr>
        <w:rPr>
          <w:rFonts w:hint="default" w:ascii="Arial" w:hAnsi="Arial" w:cs="Arial"/>
          <w:sz w:val="22"/>
          <w:szCs w:val="22"/>
          <w:lang w:val="en-US" w:eastAsia="zh-CN"/>
        </w:rPr>
      </w:pPr>
      <w:r>
        <w:rPr>
          <w:rFonts w:hint="default" w:ascii="Arial" w:hAnsi="Arial" w:cs="Arial"/>
          <w:sz w:val="22"/>
          <w:szCs w:val="22"/>
          <w:lang w:val="en-US" w:eastAsia="zh-CN"/>
        </w:rPr>
        <w:t>•</w:t>
      </w:r>
      <w:r>
        <w:rPr>
          <w:rFonts w:hint="default" w:ascii="Arial" w:hAnsi="Arial" w:cs="Arial"/>
          <w:sz w:val="22"/>
          <w:szCs w:val="22"/>
          <w:lang w:val="en-US" w:eastAsia="zh-CN"/>
        </w:rPr>
        <w:tab/>
      </w:r>
      <w:r>
        <w:rPr>
          <w:rFonts w:hint="default" w:ascii="Arial" w:hAnsi="Arial" w:cs="Arial"/>
          <w:sz w:val="22"/>
          <w:szCs w:val="22"/>
          <w:lang w:val="en-US" w:eastAsia="zh-CN"/>
        </w:rPr>
        <w:t>低维护成本                      •</w:t>
      </w:r>
      <w:r>
        <w:rPr>
          <w:rFonts w:hint="default" w:ascii="Arial" w:hAnsi="Arial" w:cs="Arial"/>
          <w:sz w:val="22"/>
          <w:szCs w:val="22"/>
          <w:lang w:val="en-US" w:eastAsia="zh-CN"/>
        </w:rPr>
        <w:tab/>
      </w:r>
      <w:r>
        <w:rPr>
          <w:rFonts w:hint="default" w:ascii="Arial" w:hAnsi="Arial" w:cs="Arial"/>
          <w:sz w:val="22"/>
          <w:szCs w:val="22"/>
          <w:lang w:val="en-US" w:eastAsia="zh-CN"/>
        </w:rPr>
        <w:t>总拥有成本降至最低</w:t>
      </w:r>
    </w:p>
    <w:p>
      <w:pPr>
        <w:rPr>
          <w:rFonts w:hint="default" w:ascii="Arial" w:hAnsi="Arial" w:cs="Arial"/>
          <w:sz w:val="22"/>
          <w:szCs w:val="22"/>
          <w:lang w:val="en-US" w:eastAsia="zh-CN"/>
        </w:rPr>
      </w:pPr>
      <w:r>
        <w:rPr>
          <w:rFonts w:hint="default" w:ascii="Arial" w:hAnsi="Arial" w:cs="Arial"/>
          <w:sz w:val="22"/>
          <w:szCs w:val="22"/>
          <w:lang w:val="en-US" w:eastAsia="zh-CN"/>
        </w:rPr>
        <w:t>•</w:t>
      </w:r>
      <w:r>
        <w:rPr>
          <w:rFonts w:hint="default" w:ascii="Arial" w:hAnsi="Arial" w:cs="Arial"/>
          <w:sz w:val="22"/>
          <w:szCs w:val="22"/>
          <w:lang w:val="en-US" w:eastAsia="zh-CN"/>
        </w:rPr>
        <w:tab/>
      </w:r>
      <w:r>
        <w:rPr>
          <w:rFonts w:hint="default" w:ascii="Arial" w:hAnsi="Arial" w:cs="Arial"/>
          <w:sz w:val="22"/>
          <w:szCs w:val="22"/>
          <w:lang w:val="en-US" w:eastAsia="zh-CN"/>
        </w:rPr>
        <w:t>全截光                          •</w:t>
      </w:r>
      <w:r>
        <w:rPr>
          <w:rFonts w:hint="default" w:ascii="Arial" w:hAnsi="Arial" w:cs="Arial"/>
          <w:sz w:val="22"/>
          <w:szCs w:val="22"/>
          <w:lang w:val="en-US" w:eastAsia="zh-CN"/>
        </w:rPr>
        <w:tab/>
      </w:r>
      <w:r>
        <w:rPr>
          <w:rFonts w:hint="default" w:ascii="Arial" w:hAnsi="Arial" w:cs="Arial"/>
          <w:sz w:val="22"/>
          <w:szCs w:val="22"/>
          <w:lang w:val="en-US" w:eastAsia="zh-CN"/>
        </w:rPr>
        <w:t>无上打光，眩光 控制至最低，减少夜间光污染</w:t>
      </w:r>
    </w:p>
    <w:p>
      <w:pPr>
        <w:rPr>
          <w:rFonts w:hint="default" w:ascii="Arial" w:hAnsi="Arial" w:cs="Arial"/>
          <w:sz w:val="22"/>
          <w:szCs w:val="22"/>
          <w:lang w:val="en-US" w:eastAsia="zh-CN"/>
        </w:rPr>
      </w:pPr>
      <w:r>
        <w:rPr>
          <w:rFonts w:hint="default" w:ascii="Arial" w:hAnsi="Arial" w:cs="Arial"/>
          <w:sz w:val="22"/>
          <w:szCs w:val="22"/>
          <w:lang w:val="en-US" w:eastAsia="zh-CN"/>
        </w:rPr>
        <w:t>•</w:t>
      </w:r>
      <w:r>
        <w:rPr>
          <w:rFonts w:hint="default" w:ascii="Arial" w:hAnsi="Arial" w:cs="Arial"/>
          <w:sz w:val="22"/>
          <w:szCs w:val="22"/>
          <w:lang w:val="en-US" w:eastAsia="zh-CN"/>
        </w:rPr>
        <w:tab/>
      </w:r>
      <w:r>
        <w:rPr>
          <w:rFonts w:hint="default" w:ascii="Arial" w:hAnsi="Arial" w:cs="Arial"/>
          <w:sz w:val="22"/>
          <w:szCs w:val="22"/>
          <w:lang w:val="en-US" w:eastAsia="zh-CN"/>
        </w:rPr>
        <w:t xml:space="preserve">灵活可编程的照明控制选项   </w:t>
      </w:r>
      <w:r>
        <w:rPr>
          <w:rFonts w:hint="eastAsia" w:ascii="Arial" w:hAnsi="Arial" w:cs="Arial"/>
          <w:sz w:val="22"/>
          <w:szCs w:val="22"/>
          <w:lang w:val="en-US" w:eastAsia="zh-CN"/>
        </w:rPr>
        <w:t xml:space="preserve">    </w:t>
      </w:r>
      <w:r>
        <w:rPr>
          <w:rFonts w:hint="default" w:ascii="Arial" w:hAnsi="Arial" w:cs="Arial"/>
          <w:sz w:val="22"/>
          <w:szCs w:val="22"/>
          <w:lang w:val="en-US" w:eastAsia="zh-CN"/>
        </w:rPr>
        <w:t xml:space="preserve"> •</w:t>
      </w:r>
      <w:r>
        <w:rPr>
          <w:rFonts w:hint="default" w:ascii="Arial" w:hAnsi="Arial" w:cs="Arial"/>
          <w:sz w:val="22"/>
          <w:szCs w:val="22"/>
          <w:lang w:val="en-US" w:eastAsia="zh-CN"/>
        </w:rPr>
        <w:tab/>
      </w:r>
      <w:r>
        <w:rPr>
          <w:rFonts w:hint="default" w:ascii="Arial" w:hAnsi="Arial" w:cs="Arial"/>
          <w:sz w:val="22"/>
          <w:szCs w:val="22"/>
          <w:lang w:val="en-US" w:eastAsia="zh-CN"/>
        </w:rPr>
        <w:t xml:space="preserve"> 全局控制相对单个灯真进行监测</w:t>
      </w:r>
    </w:p>
    <w:p>
      <w:pPr>
        <w:rPr>
          <w:rFonts w:hint="default" w:ascii="Arial" w:hAnsi="Arial" w:cs="Arial"/>
          <w:sz w:val="22"/>
          <w:szCs w:val="22"/>
          <w:lang w:val="en-US" w:eastAsia="zh-CN"/>
        </w:rPr>
      </w:pPr>
      <w:r>
        <w:rPr>
          <w:rFonts w:hint="default" w:ascii="Arial" w:hAnsi="Arial" w:cs="Arial"/>
          <w:sz w:val="22"/>
          <w:szCs w:val="22"/>
          <w:lang w:val="en-US" w:eastAsia="zh-CN"/>
        </w:rPr>
        <w:t>•</w:t>
      </w:r>
      <w:r>
        <w:rPr>
          <w:rFonts w:hint="default" w:ascii="Arial" w:hAnsi="Arial" w:cs="Arial"/>
          <w:sz w:val="22"/>
          <w:szCs w:val="22"/>
          <w:lang w:val="en-US" w:eastAsia="zh-CN"/>
        </w:rPr>
        <w:tab/>
      </w:r>
      <w:r>
        <w:rPr>
          <w:rFonts w:hint="default" w:ascii="Arial" w:hAnsi="Arial" w:cs="Arial"/>
          <w:sz w:val="22"/>
          <w:szCs w:val="22"/>
          <w:lang w:val="en-US" w:eastAsia="zh-CN"/>
        </w:rPr>
        <w:t xml:space="preserve">光学和电器腔防护等级IP66    </w:t>
      </w:r>
      <w:r>
        <w:rPr>
          <w:rFonts w:hint="eastAsia" w:ascii="Arial" w:hAnsi="Arial" w:cs="Arial"/>
          <w:sz w:val="22"/>
          <w:szCs w:val="22"/>
          <w:lang w:val="en-US" w:eastAsia="zh-CN"/>
        </w:rPr>
        <w:t xml:space="preserve">    </w:t>
      </w:r>
      <w:r>
        <w:rPr>
          <w:rFonts w:hint="default" w:ascii="Arial" w:hAnsi="Arial" w:cs="Arial"/>
          <w:sz w:val="22"/>
          <w:szCs w:val="22"/>
          <w:lang w:val="en-US" w:eastAsia="zh-CN"/>
        </w:rPr>
        <w:t>•</w:t>
      </w:r>
      <w:r>
        <w:rPr>
          <w:rFonts w:hint="default" w:ascii="Arial" w:hAnsi="Arial" w:cs="Arial"/>
          <w:sz w:val="22"/>
          <w:szCs w:val="22"/>
          <w:lang w:val="en-US" w:eastAsia="zh-CN"/>
        </w:rPr>
        <w:tab/>
      </w:r>
      <w:r>
        <w:rPr>
          <w:rFonts w:hint="default" w:ascii="Arial" w:hAnsi="Arial" w:cs="Arial"/>
          <w:sz w:val="22"/>
          <w:szCs w:val="22"/>
          <w:lang w:val="en-US" w:eastAsia="zh-CN"/>
        </w:rPr>
        <w:t xml:space="preserve"> 在恶劣环境中保持稳定的高性能 </w:t>
      </w:r>
    </w:p>
    <w:p>
      <w:pPr>
        <w:rPr>
          <w:rFonts w:hint="default" w:ascii="Arial" w:hAnsi="Arial" w:cs="Arial"/>
          <w:sz w:val="22"/>
          <w:szCs w:val="22"/>
          <w:lang w:val="en-US" w:eastAsia="zh-CN"/>
        </w:rPr>
      </w:pPr>
      <w:r>
        <w:rPr>
          <w:rFonts w:hint="default" w:ascii="Arial" w:hAnsi="Arial" w:cs="Arial"/>
          <w:sz w:val="22"/>
          <w:szCs w:val="22"/>
          <w:lang w:val="en-US" w:eastAsia="zh-CN"/>
        </w:rPr>
        <w:t>•</w:t>
      </w:r>
      <w:r>
        <w:rPr>
          <w:rFonts w:hint="default" w:ascii="Arial" w:hAnsi="Arial" w:cs="Arial"/>
          <w:sz w:val="22"/>
          <w:szCs w:val="22"/>
          <w:lang w:val="en-US" w:eastAsia="zh-CN"/>
        </w:rPr>
        <w:tab/>
      </w:r>
      <w:r>
        <w:rPr>
          <w:rFonts w:hint="default" w:ascii="Arial" w:hAnsi="Arial" w:cs="Arial"/>
          <w:sz w:val="22"/>
          <w:szCs w:val="22"/>
          <w:lang w:val="en-US" w:eastAsia="zh-CN"/>
        </w:rPr>
        <w:t>符合WEEE与RoHS规范</w:t>
      </w:r>
    </w:p>
    <w:p>
      <w:pPr>
        <w:rPr>
          <w:rFonts w:hint="default" w:ascii="Arial" w:hAnsi="Arial" w:cs="Arial"/>
          <w:sz w:val="22"/>
          <w:szCs w:val="22"/>
          <w:lang w:val="en-US" w:eastAsia="zh-CN"/>
        </w:rPr>
      </w:pPr>
    </w:p>
    <w:p>
      <w:pPr>
        <w:rPr>
          <w:rFonts w:hint="default" w:ascii="Arial" w:hAnsi="Arial" w:cs="Arial"/>
          <w:sz w:val="22"/>
          <w:szCs w:val="22"/>
          <w:lang w:val="en-US" w:eastAsia="zh-CN"/>
        </w:rPr>
      </w:pPr>
      <w:r>
        <w:drawing>
          <wp:inline distT="0" distB="0" distL="114300" distR="114300">
            <wp:extent cx="1906270" cy="1073785"/>
            <wp:effectExtent l="0" t="0" r="17780" b="120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1906270" cy="10737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208405" cy="1062355"/>
            <wp:effectExtent l="0" t="0" r="10795"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1208405" cy="1062355"/>
                    </a:xfrm>
                    <a:prstGeom prst="rect">
                      <a:avLst/>
                    </a:prstGeom>
                    <a:noFill/>
                    <a:ln>
                      <a:noFill/>
                    </a:ln>
                  </pic:spPr>
                </pic:pic>
              </a:graphicData>
            </a:graphic>
          </wp:inline>
        </w:drawing>
      </w:r>
    </w:p>
    <w:sectPr>
      <w:pgSz w:w="11906" w:h="16838"/>
      <w:pgMar w:top="1440" w:right="1519" w:bottom="1327" w:left="163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lack">
    <w:panose1 w:val="020B0A04020102020204"/>
    <w:charset w:val="00"/>
    <w:family w:val="auto"/>
    <w:pitch w:val="default"/>
    <w:sig w:usb0="A00002AF" w:usb1="400078FB" w:usb2="00000000" w:usb3="00000000" w:csb0="6000009F" w:csb1="DFD70000"/>
  </w:font>
  <w:font w:name="Arial">
    <w:panose1 w:val="020B0604020202020204"/>
    <w:charset w:val="00"/>
    <w:family w:val="auto"/>
    <w:pitch w:val="default"/>
    <w:sig w:usb0="E0002EFF" w:usb1="C000785B" w:usb2="00000009" w:usb3="00000000" w:csb0="400001FF" w:csb1="FFFF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71558A"/>
    <w:rsid w:val="47DF1670"/>
    <w:rsid w:val="5C7155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26</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2021-06-22T05:55:00Z</dcterms:created>
  <dc:creator>rrb</dc:creator>
  <cp:lastModifiedBy>rrb</cp:lastModifiedBy>
  <dcterms:modified xsi:type="dcterms:W3CDTF">2021-06-22T09:20:04Z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A4712DE04A5544BABB4013CDAE9B6556</vt:lpwstr>
  </property>
</Properties>
</file>