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190"/>
        </w:tabs>
        <w:spacing w:before="0" w:after="0" w:line="480" w:lineRule="auto"/>
        <w:jc w:val="left"/>
        <w:rPr>
          <w:rFonts w:ascii="Times New Roman" w:hAnsi="Times New Roman" w:eastAsia="Times New Roman"/>
          <w:color w:val="000000"/>
          <w:sz w:val="21"/>
          <w:szCs w:val="21"/>
        </w:rPr>
      </w:pPr>
      <w:r>
        <w:rPr>
          <w:rFonts w:ascii="Times New Roman" w:hAnsi="Times New Roman" w:eastAsia="Times New Roman"/>
          <w:color w:val="000000"/>
          <w:sz w:val="21"/>
          <w:szCs w:val="21"/>
        </w:rPr>
        <w:t>ICS XXX                                                        T/CCAATB-XXXX-2020</w:t>
      </w:r>
    </w:p>
    <w:p>
      <w:pPr>
        <w:spacing w:before="0" w:after="0" w:line="480" w:lineRule="auto"/>
        <w:jc w:val="both"/>
        <w:rPr>
          <w:rFonts w:ascii="宋体" w:hAnsi="宋体" w:eastAsia="宋体"/>
          <w:color w:val="000000"/>
          <w:sz w:val="21"/>
          <w:szCs w:val="21"/>
        </w:rPr>
      </w:pPr>
    </w:p>
    <w:p>
      <w:pPr>
        <w:snapToGrid w:val="0"/>
        <w:spacing w:before="0" w:after="0" w:line="480" w:lineRule="auto"/>
        <w:jc w:val="center"/>
        <w:rPr>
          <w:rFonts w:ascii="方正黑体_GBK" w:hAnsi="方正黑体_GBK" w:eastAsia="方正黑体_GBK"/>
          <w:color w:val="000000"/>
          <w:spacing w:val="125"/>
          <w:sz w:val="48"/>
          <w:szCs w:val="48"/>
        </w:rPr>
      </w:pPr>
      <w:r>
        <w:rPr>
          <w:rFonts w:ascii="方正黑体_GBK" w:hAnsi="方正黑体_GBK" w:eastAsia="方正黑体_GBK"/>
          <w:color w:val="000000"/>
          <w:spacing w:val="125"/>
          <w:sz w:val="48"/>
          <w:szCs w:val="48"/>
        </w:rPr>
        <w:t>中国民用机场协会团体标准</w:t>
      </w:r>
    </w:p>
    <w:p>
      <w:pPr>
        <w:pBdr>
          <w:bottom w:val="single" w:color="00000A" w:sz="8" w:space="1"/>
          <w:between w:val="single" w:color="00000A" w:sz="8" w:space="1"/>
        </w:pBdr>
        <w:snapToGrid w:val="0"/>
        <w:spacing w:before="187" w:after="0" w:line="480" w:lineRule="auto"/>
        <w:jc w:val="right"/>
        <w:rPr>
          <w:rFonts w:ascii="方正黑体_GBK" w:hAnsi="方正黑体_GBK" w:eastAsia="方正黑体_GBK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>T/CCAATB-XXXX-2020</w:t>
      </w:r>
    </w:p>
    <w:p>
      <w:pPr>
        <w:spacing w:before="0" w:after="0" w:line="480" w:lineRule="auto"/>
        <w:jc w:val="both"/>
        <w:rPr>
          <w:rFonts w:ascii="宋体" w:hAnsi="宋体" w:eastAsia="宋体"/>
          <w:color w:val="auto"/>
          <w:sz w:val="144"/>
          <w:szCs w:val="144"/>
          <w:highlight w:val="none"/>
        </w:rPr>
      </w:pPr>
    </w:p>
    <w:p>
      <w:pPr>
        <w:spacing w:before="0" w:after="0" w:line="480" w:lineRule="auto"/>
        <w:jc w:val="center"/>
        <w:rPr>
          <w:rFonts w:ascii="方正黑体_GBK" w:hAnsi="方正黑体_GBK" w:eastAsia="方正黑体_GBK"/>
          <w:color w:val="auto"/>
          <w:kern w:val="0"/>
          <w:sz w:val="56"/>
          <w:szCs w:val="56"/>
          <w:highlight w:val="none"/>
        </w:rPr>
      </w:pPr>
      <w:r>
        <w:rPr>
          <w:rFonts w:ascii="方正黑体_GBK" w:hAnsi="方正黑体_GBK" w:eastAsia="方正黑体_GBK"/>
          <w:color w:val="auto"/>
          <w:sz w:val="56"/>
          <w:szCs w:val="56"/>
          <w:highlight w:val="none"/>
        </w:rPr>
        <w:t>民用机场</w:t>
      </w:r>
      <w:r>
        <w:rPr>
          <w:rFonts w:ascii="方正黑体_GBK" w:hAnsi="方正黑体_GBK" w:eastAsia="方正黑体_GBK"/>
          <w:color w:val="auto"/>
          <w:kern w:val="0"/>
          <w:sz w:val="56"/>
          <w:szCs w:val="56"/>
          <w:highlight w:val="none"/>
        </w:rPr>
        <w:t>遗失物品管理标准</w:t>
      </w:r>
    </w:p>
    <w:p>
      <w:pPr>
        <w:snapToGrid w:val="0"/>
        <w:spacing w:before="0" w:after="0" w:line="480" w:lineRule="auto"/>
        <w:jc w:val="center"/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</w:pP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Standards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f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or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M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anagement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o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f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L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ost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A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rticles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i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n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C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ivil </w:t>
      </w:r>
      <w:r>
        <w:rPr>
          <w:rFonts w:hint="eastAsia" w:ascii="Times New Roman" w:hAnsi="Times New Roman" w:eastAsia="宋体"/>
          <w:color w:val="auto"/>
          <w:kern w:val="0"/>
          <w:sz w:val="30"/>
          <w:szCs w:val="30"/>
          <w:highlight w:val="none"/>
          <w:lang w:val="en-US" w:eastAsia="zh-CN"/>
        </w:rPr>
        <w:t>A</w:t>
      </w:r>
      <w:r>
        <w:rPr>
          <w:rFonts w:hint="eastAsia" w:ascii="Times New Roman" w:hAnsi="Times New Roman" w:eastAsia="Times New Roman"/>
          <w:color w:val="auto"/>
          <w:kern w:val="0"/>
          <w:sz w:val="30"/>
          <w:szCs w:val="30"/>
          <w:highlight w:val="none"/>
        </w:rPr>
        <w:t xml:space="preserve">irports </w:t>
      </w:r>
    </w:p>
    <w:p>
      <w:pPr>
        <w:snapToGrid w:val="0"/>
        <w:spacing w:before="0" w:after="0" w:line="480" w:lineRule="auto"/>
        <w:jc w:val="center"/>
        <w:rPr>
          <w:rFonts w:ascii="方正黑体_GBK" w:hAnsi="方正黑体_GBK" w:eastAsia="方正黑体_GBK"/>
          <w:color w:val="auto"/>
          <w:sz w:val="36"/>
          <w:szCs w:val="36"/>
          <w:highlight w:val="none"/>
        </w:rPr>
      </w:pPr>
      <w:r>
        <w:rPr>
          <w:rFonts w:ascii="方正黑体_GBK" w:hAnsi="方正黑体_GBK" w:eastAsia="方正黑体_GBK"/>
          <w:color w:val="auto"/>
          <w:sz w:val="36"/>
          <w:szCs w:val="36"/>
          <w:highlight w:val="none"/>
        </w:rPr>
        <w:t>（征求意见稿）</w:t>
      </w:r>
    </w:p>
    <w:p>
      <w:pPr>
        <w:spacing w:before="0" w:after="0" w:line="480" w:lineRule="auto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pacing w:before="0" w:after="0" w:line="480" w:lineRule="auto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pacing w:before="0" w:after="0" w:line="480" w:lineRule="auto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pacing w:before="0" w:after="0" w:line="480" w:lineRule="auto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pBdr>
          <w:bottom w:val="single" w:color="00000A" w:sz="8" w:space="1"/>
          <w:between w:val="single" w:color="00000A" w:sz="8" w:space="1"/>
        </w:pBdr>
        <w:spacing w:before="0" w:after="0" w:line="480" w:lineRule="auto"/>
        <w:jc w:val="left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/>
          <w:color w:val="auto"/>
          <w:kern w:val="0"/>
          <w:sz w:val="28"/>
          <w:szCs w:val="28"/>
          <w:highlight w:val="none"/>
        </w:rPr>
        <w:t>XXXX-XX-XX</w:t>
      </w:r>
      <w:r>
        <w:rPr>
          <w:rFonts w:ascii="方正黑体_GBK" w:hAnsi="方正黑体_GBK" w:eastAsia="方正黑体_GBK"/>
          <w:color w:val="auto"/>
          <w:kern w:val="0"/>
          <w:sz w:val="28"/>
          <w:szCs w:val="28"/>
          <w:highlight w:val="none"/>
        </w:rPr>
        <w:t>发布</w:t>
      </w:r>
      <w:r>
        <w:rPr>
          <w:rFonts w:ascii="宋体" w:hAnsi="宋体" w:eastAsia="宋体"/>
          <w:b/>
          <w:bCs/>
          <w:color w:val="auto"/>
          <w:kern w:val="0"/>
          <w:sz w:val="28"/>
          <w:szCs w:val="28"/>
          <w:highlight w:val="none"/>
        </w:rPr>
        <w:t xml:space="preserve">                            </w:t>
      </w:r>
      <w:r>
        <w:rPr>
          <w:rFonts w:ascii="Times New Roman" w:hAnsi="Times New Roman" w:eastAsia="Times New Roman"/>
          <w:color w:val="auto"/>
          <w:kern w:val="0"/>
          <w:sz w:val="28"/>
          <w:szCs w:val="28"/>
          <w:highlight w:val="none"/>
        </w:rPr>
        <w:t xml:space="preserve"> XXXX-XX-XX</w:t>
      </w:r>
      <w:r>
        <w:rPr>
          <w:rFonts w:ascii="方正黑体_GBK" w:hAnsi="方正黑体_GBK" w:eastAsia="方正黑体_GBK"/>
          <w:color w:val="auto"/>
          <w:kern w:val="0"/>
          <w:sz w:val="28"/>
          <w:szCs w:val="28"/>
          <w:highlight w:val="none"/>
        </w:rPr>
        <w:t>实施</w:t>
      </w:r>
      <w:r>
        <w:rPr>
          <w:rFonts w:ascii="宋体" w:hAnsi="宋体" w:eastAsia="宋体"/>
          <w:b/>
          <w:bCs/>
          <w:color w:val="auto"/>
          <w:kern w:val="0"/>
          <w:sz w:val="28"/>
          <w:szCs w:val="28"/>
          <w:highlight w:val="none"/>
        </w:rPr>
        <w:t xml:space="preserve"> </w:t>
      </w:r>
    </w:p>
    <w:p>
      <w:pPr>
        <w:snapToGrid w:val="0"/>
        <w:spacing w:before="0" w:after="0" w:line="480" w:lineRule="auto"/>
        <w:ind w:firstLine="0"/>
        <w:jc w:val="center"/>
        <w:rPr>
          <w:rFonts w:ascii="黑体" w:hAnsi="黑体" w:eastAsia="黑体"/>
          <w:color w:val="auto"/>
          <w:spacing w:val="20"/>
          <w:kern w:val="0"/>
          <w:sz w:val="28"/>
          <w:szCs w:val="28"/>
          <w:highlight w:val="none"/>
        </w:rPr>
      </w:pPr>
      <w:r>
        <w:rPr>
          <w:rFonts w:ascii="黑体" w:hAnsi="黑体" w:eastAsia="黑体"/>
          <w:color w:val="auto"/>
          <w:spacing w:val="20"/>
          <w:kern w:val="0"/>
          <w:sz w:val="28"/>
          <w:szCs w:val="28"/>
          <w:highlight w:val="none"/>
        </w:rPr>
        <w:t>中国民用机场协会    发 布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ascii="宋体" w:hAnsi="宋体" w:eastAsia="宋体" w:cstheme="minorBidi"/>
          <w:color w:val="auto"/>
          <w:kern w:val="2"/>
          <w:sz w:val="21"/>
          <w:szCs w:val="22"/>
          <w:highlight w:val="none"/>
          <w:lang w:val="en-US" w:eastAsia="zh-CN" w:bidi="ar-SA"/>
        </w:rPr>
        <w:sectPr>
          <w:footerReference r:id="rId3" w:type="default"/>
          <w:pgSz w:w="11906" w:h="16838"/>
          <w:pgMar w:top="2154" w:right="1417" w:bottom="2041" w:left="1531" w:header="851" w:footer="992" w:gutter="0"/>
          <w:cols w:space="425" w:num="1"/>
          <w:docGrid w:type="lines" w:linePitch="312" w:charSpace="0"/>
        </w:sectPr>
      </w:pPr>
    </w:p>
    <w:sdt>
      <w:sdtPr>
        <w:rPr>
          <w:rFonts w:ascii="宋体" w:hAnsi="宋体" w:eastAsia="宋体" w:cstheme="minorBidi"/>
          <w:b/>
          <w:bCs/>
          <w:color w:val="auto"/>
          <w:kern w:val="2"/>
          <w:sz w:val="24"/>
          <w:szCs w:val="28"/>
          <w:highlight w:val="none"/>
          <w:lang w:val="en-US" w:eastAsia="zh-CN" w:bidi="ar-SA"/>
        </w:rPr>
        <w:id w:val="147456978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theme="minorBidi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ascii="宋体" w:hAnsi="宋体" w:eastAsia="宋体"/>
              <w:b/>
              <w:bCs/>
              <w:color w:val="auto"/>
              <w:sz w:val="24"/>
              <w:szCs w:val="28"/>
              <w:highlight w:val="none"/>
            </w:rPr>
          </w:pPr>
          <w:r>
            <w:rPr>
              <w:rFonts w:ascii="宋体" w:hAnsi="宋体" w:eastAsia="宋体"/>
              <w:b/>
              <w:bCs/>
              <w:color w:val="auto"/>
              <w:sz w:val="24"/>
              <w:szCs w:val="28"/>
              <w:highlight w:val="none"/>
            </w:rPr>
            <w:t>目</w:t>
          </w:r>
          <w:r>
            <w:rPr>
              <w:rFonts w:hint="eastAsia" w:ascii="宋体" w:hAnsi="宋体" w:eastAsia="宋体"/>
              <w:b/>
              <w:bCs/>
              <w:color w:val="auto"/>
              <w:sz w:val="24"/>
              <w:szCs w:val="28"/>
              <w:highlight w:val="none"/>
              <w:lang w:val="en-US" w:eastAsia="zh-CN"/>
            </w:rPr>
            <w:t xml:space="preserve">  </w:t>
          </w:r>
          <w:r>
            <w:rPr>
              <w:rFonts w:ascii="宋体" w:hAnsi="宋体" w:eastAsia="宋体"/>
              <w:b/>
              <w:bCs/>
              <w:color w:val="auto"/>
              <w:sz w:val="24"/>
              <w:szCs w:val="28"/>
              <w:highlight w:val="none"/>
            </w:rPr>
            <w:t>录</w:t>
          </w:r>
        </w:p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ascii="宋体" w:hAnsi="宋体" w:eastAsia="宋体"/>
              <w:b/>
              <w:bCs/>
              <w:color w:val="auto"/>
              <w:sz w:val="24"/>
              <w:szCs w:val="28"/>
              <w:highlight w:val="none"/>
            </w:rPr>
          </w:pP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TOC \o "1-2" \h \u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_Toc226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ascii="宋体" w:hAnsi="宋体" w:eastAsia="宋体"/>
              <w:bCs/>
              <w:color w:val="auto"/>
              <w:sz w:val="21"/>
              <w:szCs w:val="32"/>
              <w:highlight w:val="none"/>
            </w:rPr>
            <w:t>前  言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_Toc226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II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_Toc10405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 xml:space="preserve">1 </w:t>
          </w:r>
          <w:r>
            <w:rPr>
              <w:rFonts w:ascii="宋体" w:hAnsi="宋体" w:eastAsia="宋体"/>
              <w:bCs/>
              <w:color w:val="auto"/>
              <w:sz w:val="21"/>
              <w:szCs w:val="21"/>
              <w:highlight w:val="none"/>
            </w:rPr>
            <w:t>范围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_Toc10405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1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_Toc14498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 xml:space="preserve">2 </w:t>
          </w:r>
          <w:r>
            <w:rPr>
              <w:rFonts w:ascii="宋体" w:hAnsi="宋体" w:eastAsia="宋体"/>
              <w:bCs/>
              <w:color w:val="auto"/>
              <w:sz w:val="21"/>
              <w:szCs w:val="21"/>
              <w:highlight w:val="none"/>
            </w:rPr>
            <w:t>规范性引用文件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_Toc14498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1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_Toc14130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3 术语和定义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_Toc14130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1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_Toc13084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ascii="宋体" w:hAnsi="宋体" w:eastAsia="宋体"/>
              <w:bCs/>
              <w:color w:val="auto"/>
              <w:sz w:val="21"/>
              <w:szCs w:val="21"/>
              <w:highlight w:val="none"/>
            </w:rPr>
            <w:t>4 基本要求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_Toc13084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1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_Toc3836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5 人员资质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_Toc3836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1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_Toc10543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6 设施设备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_Toc10543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2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_Toc15120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6.1 服务柜台及附属设备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_Toc15120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2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_Toc26158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6.2 存储库房及附属设备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_Toc26158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2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_Toc31749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6.3 其他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_Toc31749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2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_Toc2203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7 分类和保管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_Toc2203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2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_Toc32116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8 遗失物品接收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_Toc32116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3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_Toc74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8.1 接收要求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_Toc74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3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_Toc23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8.2 安全要求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_Toc23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4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_Toc8820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9 遗失物品存放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_Toc8820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4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_Toc26115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9.1 存放要求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_Toc26115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4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_Toc11154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9.2 日常管理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_Toc11154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4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_Toc14750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10 遗失物品领取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_Toc14750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4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_Toc1282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10.1 本人领取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_Toc1282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4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_Toc19764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10.2 委托领取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_Toc19764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5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_Toc5300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10.3 代寄领取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_Toc5300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5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_Toc16482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11 逾期遗失物品处置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_Toc16482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6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_Toc20347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11.1 直接处置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_Toc20347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6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_Toc25009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11.2 定期处置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_Toc25009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6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  <w:bookmarkStart w:id="177" w:name="_GoBack"/>
          <w:bookmarkEnd w:id="177"/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_Toc19131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12 报失归还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_Toc19131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6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_Toc22028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13 遗失物品数据上传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_Toc22028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6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_Toc12410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13.1 数据上传要求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_Toc12410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6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_Toc32000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13.2 图片上传要求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_Toc32000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7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_Toc20780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14 相关管理要求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_Toc20780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7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_Toc32742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14.1 培训管理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_Toc32742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7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_Toc10414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hint="eastAsia" w:ascii="宋体" w:hAnsi="宋体" w:eastAsia="宋体"/>
              <w:bCs/>
              <w:color w:val="auto"/>
              <w:sz w:val="21"/>
              <w:szCs w:val="21"/>
              <w:highlight w:val="none"/>
              <w:lang w:val="en-US" w:eastAsia="zh-CN"/>
            </w:rPr>
            <w:t>14.2 投诉管理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_Toc10414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7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895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40" w:lineRule="exact"/>
            <w:textAlignment w:val="auto"/>
            <w:rPr>
              <w:color w:val="auto"/>
              <w:sz w:val="21"/>
              <w:szCs w:val="22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begin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instrText xml:space="preserve"> HYPERLINK \l _Toc11106 </w:instrText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separate"/>
          </w:r>
          <w:r>
            <w:rPr>
              <w:rFonts w:ascii="宋体" w:hAnsi="宋体" w:eastAsia="宋体"/>
              <w:bCs/>
              <w:color w:val="auto"/>
              <w:sz w:val="21"/>
              <w:szCs w:val="21"/>
              <w:highlight w:val="none"/>
            </w:rPr>
            <w:t>参考文献</w:t>
          </w:r>
          <w:r>
            <w:rPr>
              <w:color w:val="auto"/>
              <w:sz w:val="21"/>
              <w:szCs w:val="22"/>
              <w:highlight w:val="none"/>
            </w:rPr>
            <w:tab/>
          </w:r>
          <w:r>
            <w:rPr>
              <w:color w:val="auto"/>
              <w:sz w:val="21"/>
              <w:szCs w:val="22"/>
              <w:highlight w:val="none"/>
            </w:rPr>
            <w:fldChar w:fldCharType="begin"/>
          </w:r>
          <w:r>
            <w:rPr>
              <w:color w:val="auto"/>
              <w:sz w:val="21"/>
              <w:szCs w:val="22"/>
              <w:highlight w:val="none"/>
            </w:rPr>
            <w:instrText xml:space="preserve"> PAGEREF _Toc11106 \h </w:instrText>
          </w:r>
          <w:r>
            <w:rPr>
              <w:color w:val="auto"/>
              <w:sz w:val="21"/>
              <w:szCs w:val="22"/>
              <w:highlight w:val="none"/>
            </w:rPr>
            <w:fldChar w:fldCharType="separate"/>
          </w:r>
          <w:r>
            <w:rPr>
              <w:color w:val="auto"/>
              <w:sz w:val="21"/>
              <w:szCs w:val="22"/>
              <w:highlight w:val="none"/>
            </w:rPr>
            <w:t>8</w:t>
          </w:r>
          <w:r>
            <w:rPr>
              <w:color w:val="auto"/>
              <w:sz w:val="21"/>
              <w:szCs w:val="22"/>
              <w:highlight w:val="none"/>
            </w:rPr>
            <w:fldChar w:fldCharType="end"/>
          </w: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after="0" w:line="340" w:lineRule="exact"/>
            <w:ind w:rightChars="0" w:firstLine="0"/>
            <w:jc w:val="center"/>
            <w:textAlignment w:val="auto"/>
            <w:outlineLvl w:val="9"/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</w:pPr>
          <w:r>
            <w:rPr>
              <w:rFonts w:ascii="宋体" w:hAnsi="宋体" w:eastAsia="宋体"/>
              <w:color w:val="auto"/>
              <w:sz w:val="21"/>
              <w:szCs w:val="21"/>
              <w:highlight w:val="none"/>
            </w:rPr>
            <w:fldChar w:fldCharType="end"/>
          </w:r>
        </w:p>
      </w:sdtContent>
    </w:sdt>
    <w:p>
      <w:pPr>
        <w:spacing w:before="0" w:after="0" w:line="240" w:lineRule="auto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pacing w:before="640" w:after="560" w:line="460" w:lineRule="exact"/>
        <w:jc w:val="center"/>
        <w:outlineLvl w:val="0"/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</w:pPr>
      <w:bookmarkStart w:id="0" w:name="_Toc8113"/>
      <w:bookmarkStart w:id="1" w:name="_Toc226"/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前  言</w:t>
      </w:r>
      <w:bookmarkEnd w:id="0"/>
      <w:bookmarkEnd w:id="1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本标准按照GB/T 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1-2020《标准化工作导则  第1部分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: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标准化文件的结构和起草规则》的规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定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起草。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本标准由中国民用机场协会提出并解释。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本标准起草单位：重庆机场集团有限公司。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本标准主要起草人：熊德智、黄庆、陈楠、王涛、王雪君、杨振清、周记、李建霞、梅阳。</w:t>
      </w:r>
    </w:p>
    <w:p>
      <w:pPr>
        <w:snapToGrid w:val="0"/>
        <w:spacing w:before="0" w:after="0" w:line="360" w:lineRule="auto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</w:pPr>
    </w:p>
    <w:p>
      <w:pPr>
        <w:snapToGrid w:val="0"/>
        <w:spacing w:before="561" w:after="561" w:line="240" w:lineRule="auto"/>
        <w:jc w:val="center"/>
        <w:outlineLvl w:val="9"/>
        <w:rPr>
          <w:rFonts w:ascii="宋体" w:hAnsi="宋体" w:eastAsia="宋体"/>
          <w:b/>
          <w:bCs/>
          <w:color w:val="auto"/>
          <w:sz w:val="32"/>
          <w:szCs w:val="32"/>
          <w:highlight w:val="none"/>
        </w:rPr>
        <w:sectPr>
          <w:footerReference r:id="rId4" w:type="default"/>
          <w:pgSz w:w="11906" w:h="16838"/>
          <w:pgMar w:top="2154" w:right="1417" w:bottom="2041" w:left="1531" w:header="851" w:footer="992" w:gutter="0"/>
          <w:pgNumType w:fmt="upperRoman" w:start="1"/>
          <w:cols w:space="425" w:num="1"/>
          <w:docGrid w:type="lines" w:linePitch="312" w:charSpace="0"/>
        </w:sectPr>
      </w:pPr>
      <w:bookmarkStart w:id="2" w:name="_Toc16680"/>
    </w:p>
    <w:p>
      <w:pPr>
        <w:snapToGrid w:val="0"/>
        <w:spacing w:before="561" w:after="561" w:line="240" w:lineRule="auto"/>
        <w:jc w:val="center"/>
        <w:outlineLvl w:val="0"/>
        <w:rPr>
          <w:rFonts w:hint="eastAsia" w:ascii="宋体" w:hAnsi="宋体" w:eastAsiaTheme="minorEastAsia"/>
          <w:b/>
          <w:bCs/>
          <w:color w:val="auto"/>
          <w:sz w:val="24"/>
          <w:szCs w:val="24"/>
          <w:highlight w:val="none"/>
          <w:lang w:eastAsia="zh-CN"/>
        </w:rPr>
      </w:pPr>
      <w:bookmarkStart w:id="3" w:name="_Toc16993"/>
      <w:bookmarkStart w:id="4" w:name="_Toc12861"/>
      <w:bookmarkStart w:id="5" w:name="_Toc17461"/>
      <w:bookmarkStart w:id="6" w:name="_Toc15544"/>
      <w:bookmarkStart w:id="7" w:name="_Toc3718"/>
      <w:bookmarkStart w:id="8" w:name="_Toc23606"/>
      <w:bookmarkStart w:id="9" w:name="_Toc7661"/>
      <w:bookmarkStart w:id="10" w:name="_Toc20058"/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民用机场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  <w:lang w:eastAsia="zh-CN"/>
        </w:rPr>
        <w:t>遗失物品管理标准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>
      <w:pPr>
        <w:snapToGrid w:val="0"/>
        <w:spacing w:before="0" w:after="0" w:line="240" w:lineRule="auto"/>
        <w:jc w:val="left"/>
        <w:outlineLvl w:val="0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  <w:bookmarkStart w:id="11" w:name="_Toc10405"/>
      <w:bookmarkStart w:id="12" w:name="_Toc23679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1 </w:t>
      </w:r>
      <w:r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  <w:t>范围</w:t>
      </w:r>
      <w:bookmarkEnd w:id="11"/>
      <w:bookmarkEnd w:id="12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本标准确定了中国民用机场（以下简称机场）遗失物品管理的总体原则和要求。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本标准适用于机场遗失物品管理，涵盖了遗失物品的接收、存放、领取、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逾期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处置全流程。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  <w:bookmarkStart w:id="13" w:name="_Toc26305"/>
      <w:bookmarkStart w:id="14" w:name="_Toc14498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2 </w:t>
      </w:r>
      <w:r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  <w:t>规范性引用文件</w:t>
      </w:r>
      <w:bookmarkEnd w:id="13"/>
      <w:bookmarkEnd w:id="14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本标准无规范性引用文件。</w:t>
      </w:r>
    </w:p>
    <w:p>
      <w:pPr>
        <w:snapToGrid w:val="0"/>
        <w:spacing w:before="0" w:after="0" w:line="560" w:lineRule="exact"/>
        <w:ind w:firstLineChars="20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>
      <w:pPr>
        <w:snapToGrid w:val="0"/>
        <w:spacing w:before="0" w:after="0" w:line="240" w:lineRule="auto"/>
        <w:jc w:val="left"/>
        <w:outlineLvl w:val="0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  <w:bookmarkStart w:id="15" w:name="_Toc24743"/>
      <w:bookmarkStart w:id="16" w:name="_Toc1413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3 术语和定义</w:t>
      </w:r>
      <w:bookmarkEnd w:id="15"/>
      <w:bookmarkEnd w:id="16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本标准无术语和定义。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ind w:firstLine="0"/>
        <w:jc w:val="left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bookmarkStart w:id="17" w:name="_Toc26784"/>
      <w:bookmarkStart w:id="18" w:name="_Toc13084"/>
      <w:r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  <w:t>4 基本要求</w:t>
      </w:r>
      <w:bookmarkEnd w:id="17"/>
      <w:bookmarkEnd w:id="18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4.1机场应提供免费的遗失物品接收、存放、领取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及逾期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处置服务。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机场应在航站楼内设置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失物招领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服务连续性引导标识及定位标识。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机场应通过书面、网络等适当形式对外公布失物招领服务电话、服务时间、服务流程等。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机场应通过相关渠道向社会公布遗失物品信息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及查询网址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机场应建立规范的遗失物品管理制度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及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服务标准。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机场应建立场区范围内的遗失物品交接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机制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，并通过适当方式告知驻场单位工作人员。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机场宜向旅客提供遗失物品代寄服务。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应对接或使用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“民航旅客遗失物品统一查询平台”。</w:t>
      </w:r>
    </w:p>
    <w:p>
      <w:pPr>
        <w:snapToGrid w:val="0"/>
        <w:spacing w:before="0" w:after="0" w:line="560" w:lineRule="exact"/>
        <w:ind w:firstLine="420"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机场应按相关要求妥善保存纸质/电子台账，保存时间不少于3年。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4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.10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机场应在遗失物品认领处张贴告示，告知冒领遗失物品属违法、违规行为。</w:t>
      </w:r>
      <w:bookmarkStart w:id="19" w:name="_Toc28835"/>
    </w:p>
    <w:p>
      <w:pPr>
        <w:snapToGrid w:val="0"/>
        <w:spacing w:before="0" w:after="0" w:line="560" w:lineRule="exact"/>
        <w:ind w:firstLineChars="20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0" w:name="_Toc3836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5 人员资质</w:t>
      </w:r>
      <w:bookmarkEnd w:id="19"/>
      <w:bookmarkEnd w:id="20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5.1应掌握遗失物品管理的相关法律法规及标准规范。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5.2应掌握航空安保、危险品、消防安全等相关知识。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5.3应掌握民航运输业务知识及服务礼仪规范。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5.4应具备计算机操作基础知识，并能熟练操作遗失物品管理系统。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5.5宜具备一定的外语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交流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能力。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1" w:name="_Toc13828"/>
      <w:bookmarkStart w:id="22" w:name="_Toc10543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6 设施设备</w:t>
      </w:r>
      <w:bookmarkEnd w:id="21"/>
      <w:bookmarkEnd w:id="22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3" w:name="_Toc1512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6.1 服务柜台及附属设备</w:t>
      </w:r>
      <w:bookmarkEnd w:id="23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6.1.1机场应设置遗失物品服务柜台。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6.1.2服务柜台应位于旅客服务的主流程，且点位不少于</w:t>
      </w:r>
      <w:r>
        <w:rPr>
          <w:rFonts w:ascii="Times New Roman" w:hAnsi="Times New Roman" w:eastAsia="Times New Roman"/>
          <w:color w:val="auto"/>
          <w:sz w:val="21"/>
          <w:szCs w:val="21"/>
          <w:highlight w:val="none"/>
        </w:rPr>
        <w:t>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个。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6.1.3应配置电脑、录音电话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及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音频采集等设备。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6.1.4应配置打印、复印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设备，并提供相应服务。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4" w:name="_Toc26158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6.2 存储库房及附属设备</w:t>
      </w:r>
      <w:bookmarkEnd w:id="24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6.2.1机场应设置遗失物品存储库房。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6.2.2应配备带锁的箱（柜）。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6.2.3宜配备防爆柜。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6.2.4宜配备冷藏设备。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5" w:name="_Toc31749"/>
      <w:bookmarkStart w:id="26" w:name="_Toc22042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6.3 其他</w:t>
      </w:r>
      <w:bookmarkEnd w:id="25"/>
      <w:bookmarkEnd w:id="26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6.3.1服务柜台及存储库房应设置视频监控，所有</w:t>
      </w:r>
      <w:r>
        <w:rPr>
          <w:rFonts w:ascii="宋体" w:hAnsi="宋体" w:eastAsia="宋体"/>
          <w:color w:val="auto"/>
          <w:sz w:val="21"/>
          <w:szCs w:val="21"/>
          <w:highlight w:val="none"/>
          <w:shd w:val="clear" w:fill="FFFFFF"/>
        </w:rPr>
        <w:t>音频及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影像视频资料至少保存</w:t>
      </w:r>
      <w:r>
        <w:rPr>
          <w:rFonts w:ascii="Times New Roman" w:hAnsi="Times New Roman" w:eastAsia="Times New Roman"/>
          <w:color w:val="auto"/>
          <w:kern w:val="2"/>
          <w:sz w:val="21"/>
          <w:szCs w:val="21"/>
          <w:highlight w:val="none"/>
        </w:rPr>
        <w:t>90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天。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6.3.2服务柜台及存储库房应配置火情报警设备及灭火设施。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7" w:name="_Toc2203"/>
      <w:bookmarkStart w:id="28" w:name="_Toc19416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7 分类和保管</w:t>
      </w:r>
      <w:bookmarkEnd w:id="27"/>
      <w:bookmarkEnd w:id="28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遗失物品按以下五大类进行分类：</w:t>
      </w:r>
    </w:p>
    <w:p>
      <w:pPr>
        <w:numPr>
          <w:ilvl w:val="0"/>
          <w:numId w:val="0"/>
        </w:numPr>
        <w:snapToGrid w:val="0"/>
        <w:spacing w:before="0" w:after="0" w:line="560" w:lineRule="exact"/>
        <w:ind w:left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第一类：贵重物品（现金、有价证券、含现金的物品、首饰、古董、字画、各类数码产品等），保存1年。</w:t>
      </w:r>
    </w:p>
    <w:p>
      <w:pPr>
        <w:numPr>
          <w:ilvl w:val="0"/>
          <w:numId w:val="0"/>
        </w:numPr>
        <w:snapToGrid w:val="0"/>
        <w:spacing w:before="0" w:after="0" w:line="560" w:lineRule="exact"/>
        <w:ind w:leftChars="200"/>
        <w:jc w:val="both"/>
        <w:rPr>
          <w:rFonts w:hint="default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第二类：一般物品（普通衣物、生活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日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用品、箱包、烟、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食用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酒、茶、普通食品等），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标有保质期的物品，保存期限参考保质期，最长不超过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年；其余物品保存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1年。</w:t>
      </w:r>
    </w:p>
    <w:p>
      <w:pPr>
        <w:numPr>
          <w:ilvl w:val="0"/>
          <w:numId w:val="0"/>
        </w:numPr>
        <w:snapToGrid w:val="0"/>
        <w:spacing w:before="0" w:after="0" w:line="560" w:lineRule="exact"/>
        <w:ind w:left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第三类：特殊物品（文件、证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照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、卡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件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等），保存1年。</w:t>
      </w:r>
    </w:p>
    <w:p>
      <w:pPr>
        <w:numPr>
          <w:ilvl w:val="0"/>
          <w:numId w:val="0"/>
        </w:numPr>
        <w:snapToGrid w:val="0"/>
        <w:spacing w:before="0" w:after="0" w:line="560" w:lineRule="exact"/>
        <w:ind w:left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第四类：易腐物品（生鲜食品、鲜花绿植等），保存24小时。</w:t>
      </w:r>
    </w:p>
    <w:p>
      <w:pPr>
        <w:numPr>
          <w:ilvl w:val="0"/>
          <w:numId w:val="0"/>
        </w:numPr>
        <w:snapToGrid w:val="0"/>
        <w:spacing w:before="0" w:after="0" w:line="560" w:lineRule="exact"/>
        <w:ind w:left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第五类：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易燃易爆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物品（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充电宝、备用锂电池等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不受《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危险品安全航空运输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技术细则》《危险品规则》限制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的遗失物品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），保存1个月。</w:t>
      </w:r>
    </w:p>
    <w:p>
      <w:pPr>
        <w:numPr>
          <w:ilvl w:val="0"/>
          <w:numId w:val="0"/>
        </w:numPr>
        <w:snapToGrid w:val="0"/>
        <w:spacing w:before="0" w:after="0" w:line="560" w:lineRule="exact"/>
        <w:ind w:left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29" w:name="_Toc13448"/>
      <w:bookmarkStart w:id="30" w:name="_Toc32116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8 遗失物品接收</w:t>
      </w:r>
      <w:bookmarkEnd w:id="29"/>
      <w:bookmarkEnd w:id="30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31" w:name="_Toc74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8.1 接收要求</w:t>
      </w:r>
      <w:bookmarkEnd w:id="31"/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.1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机场应告知各驻场单位，及时将遗失物品移交至指定的服务柜台。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2员工拾得或接到旅客转交的遗失物品，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经确认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无其他处置要求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后，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及时交至遗失物品服务柜台。如无法第一时间移交，应通过拨打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失物招领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服务电话等方式对物品信息进行详细报备。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8.1.3员工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在国际控制区范围内拾得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或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接到旅客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转交的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遗失物品时，应立即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报告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海关，如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相关单位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检查无其他处置要求，按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本标准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处置。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登记遗失物品信息时，需详细记录日期、地点、物品特征、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移交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人姓名和电话等。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1.5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接收贵重物品时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需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有2名及以上工作人员同时在场，并由移交人员和接收人员同时签字确认，做好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台账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记录。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1.6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应对遗失物品实行标签、标码管理，标签标码内容应包含物品捡拾日期、类别及其他备注信息。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8.1.7失物招领工作人员接收到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国际控制区范围内拾得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的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遗失物品时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，应先与海关核实物品信息，如海关无其他处置要求，则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按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正常流程接收。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32" w:name="_Toc23"/>
      <w:bookmarkStart w:id="33" w:name="_Toc30958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8.2 安全要求</w:t>
      </w:r>
      <w:bookmarkEnd w:id="32"/>
      <w:bookmarkEnd w:id="33"/>
    </w:p>
    <w:p>
      <w:pPr>
        <w:snapToGrid w:val="0"/>
        <w:spacing w:before="0" w:after="0" w:line="560" w:lineRule="exact"/>
        <w:ind w:leftChars="0" w:firstLine="42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2.1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接收遗失物品时，均应进行安全检查，确认物品安全后分类存放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对无法通过安全检查的可疑物品、不具备存放条件的易燃易爆物品以及贴有涉密标识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腐蚀类、化工类、放射类等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物品，可拒绝接收，并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联系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相关单位处理。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2.2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对需开包检查的遗失物品，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先经过安全检查，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shd w:val="clear" w:color="auto" w:fill="auto"/>
          <w:lang w:eastAsia="zh-CN"/>
        </w:rPr>
        <w:t>在视频监控范围内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由2名及以上工作人员共同开包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确认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。如无法通过安全检查，不得私自开包，按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本标准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2.1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处置。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2.3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对带有密码锁等无法开包检查的遗失物品，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经过安全检查后分类存放。如无法通过安全检查，按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本标准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8.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2.1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处置。</w:t>
      </w:r>
    </w:p>
    <w:p>
      <w:pPr>
        <w:snapToGrid w:val="0"/>
        <w:spacing w:before="0" w:after="0" w:line="560" w:lineRule="exact"/>
        <w:ind w:leftChars="0" w:firstLine="42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34" w:name="_Toc8820"/>
      <w:bookmarkStart w:id="35" w:name="_Toc23504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9 遗失物品存放</w:t>
      </w:r>
      <w:bookmarkEnd w:id="34"/>
      <w:bookmarkEnd w:id="35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36" w:name="_Toc26115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9.1 存放要求</w:t>
      </w:r>
      <w:bookmarkEnd w:id="36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.1遗失物品应按照捡拾日期和类别进行分类存放。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.2贵重物品应锁闭存放，并安排专人管理。</w:t>
      </w:r>
    </w:p>
    <w:p>
      <w:pPr>
        <w:snapToGrid w:val="0"/>
        <w:spacing w:before="0" w:after="0" w:line="560" w:lineRule="exact"/>
        <w:ind w:firstLineChars="20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.3充电宝、备用锂电池应单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独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做好防受损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防短路保护措施后安全存放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便捷式电子产品应确认处于关闭状态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做好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防止意外启动措施后安全存放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.4需冷藏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冷冻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的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物品宜使用冷藏设备存放。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37" w:name="_Toc11154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9.2 日常管理</w:t>
      </w:r>
      <w:bookmarkEnd w:id="37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.1应设立遗失物品库房管理员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负责库房巡查，每天不少于1次，并建立相关台账。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.2严禁工作人员私自使用、赠与或侵占遗失物品。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9.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.3若遗失物品被人为损坏，责任人应承担赔偿责任。</w:t>
      </w:r>
    </w:p>
    <w:p>
      <w:pPr>
        <w:snapToGrid w:val="0"/>
        <w:spacing w:before="0" w:after="0" w:line="560" w:lineRule="exact"/>
        <w:ind w:firstLineChars="20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38" w:name="_Toc24733"/>
      <w:bookmarkStart w:id="39" w:name="_Toc1475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10 遗失物品领取</w:t>
      </w:r>
      <w:bookmarkEnd w:id="38"/>
      <w:bookmarkEnd w:id="39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40" w:name="_Toc1282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10.1 本人领取</w:t>
      </w:r>
      <w:bookmarkEnd w:id="40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10.1.1失主本人到场认领时，应提供有效证件原件或复印件/扫描件/照片。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10.1.2失主应提供有效联系电话，工作人员应对信息有效性进行核实。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10.1.3工作人员应与失主仔细核对航班信息、行程信息、遗失物品类型、数量、基本特征、遗失的时间、地点等信息。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10.1.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信息核实无误后，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领取人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和工作人员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同时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签字确认；工作人员应做好记录，并在遗失物品管理系统中进行标注。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41" w:name="_Toc19764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10.2 委托领取</w:t>
      </w:r>
      <w:bookmarkEnd w:id="41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10.2.1若失主本人无法到场领取，可委托他人代领。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10.2.2被委托人需携带本人有效证件原件或复印件/扫描件/照片、失主本人有效证件原件或复印件/扫描件/照片以及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失主本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人签名或者盖章的授权委托书原件或复印件/扫描件/照片，工作人员与失主联系确认物品及委托信息无误后，方可代领。</w:t>
      </w:r>
    </w:p>
    <w:p>
      <w:pPr>
        <w:snapToGrid w:val="0"/>
        <w:spacing w:before="0" w:after="0" w:line="560" w:lineRule="exact"/>
        <w:ind w:firstLineChars="200"/>
        <w:jc w:val="both"/>
        <w:rPr>
          <w:rFonts w:hint="default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10.2.3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授权委托书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需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明确委托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的人员、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事项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权限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责任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等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内容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并注明“遗失物品被委托领取后视同本人领取，如有丢失，机场不承担赔偿责任”。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10.2.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其他流程与失主本人领取流程相同。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42" w:name="_Toc530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10.3 代寄领取</w:t>
      </w:r>
      <w:bookmarkEnd w:id="42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10.3.1若失主本人无法到场领取，可自行联系快递公司或委托机场代寄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领取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，费用自理。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10.3.2快递公司代领人员需携带本人有效证件原件或复印件/扫描件/照片、失主本人有效证件原件或复印件/扫描件/照片以及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失主本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人签名或者盖章的授权委托书原件或复印件/扫描件/照片，工作人员与失主联系确认物品及委托信息无误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后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方可领取，工作人员需记录快递单号。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10.3.3委托机场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代寄领取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的，失主需提供本人有效证件复印件/扫描件/照片、有效联系电话、委托书复印件/扫描件/照片，采用微信等视频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通讯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工具，在视频监控覆盖范围内，与机场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代寄领取工作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人员确认物品无误后，以邮寄费用到付方式，由机场工作人员将遗失物品邮寄到失主指定地点，机场应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妥善保存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邮寄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遗失物品的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相关票据。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10.3.4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授权委托书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需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明确委托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的人员、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事项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权限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责任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等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内容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并注明“遗失物品被委托领取后视同本人领取，如有丢失，机场不承担赔偿责任”。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10.3.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其他流程与失主本人领取流程相同。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43" w:name="_Toc16482"/>
      <w:bookmarkStart w:id="44" w:name="_Toc20678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11 逾期遗失物品处置</w:t>
      </w:r>
      <w:bookmarkEnd w:id="43"/>
      <w:bookmarkEnd w:id="44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45" w:name="_Toc20347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11.1 直接处置</w:t>
      </w:r>
      <w:bookmarkEnd w:id="45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鲜活易腐类物品，机场可根据实际情况联系相关单位处置，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处置时需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2名及以上工作人员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同时在场，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并做好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台账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记录。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46" w:name="_Toc25009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11.2 定期处置</w:t>
      </w:r>
      <w:bookmarkEnd w:id="46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11.2.1机场应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根据国家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和政府相关要求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至少确定1家合法移交机构。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11.2.2机场应根据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遗失物品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保存期限定期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处置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11.2.3机场应对移交物品的时间、类型、数量、特征等进行仔细核对，并做好记录。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11.2.4机场应根据相关要求妥善保存移交凭证。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11.2.5机场应在遗失物品管理系统中对已处置物品进行标注。</w:t>
      </w:r>
      <w:bookmarkStart w:id="47" w:name="_Toc19131"/>
    </w:p>
    <w:p>
      <w:pPr>
        <w:snapToGrid w:val="0"/>
        <w:spacing w:before="0" w:after="0" w:line="560" w:lineRule="exact"/>
        <w:ind w:firstLineChars="20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12 报失归还</w:t>
      </w:r>
      <w:bookmarkEnd w:id="47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12.1机场应做好旅客报失物品的信息登记。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12.2机场应根据旅客报失信息，主动通过遗失物品管理系统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进行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查询。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12.3机场应主动联系有明确联系方式的旅客，提高遗失物品归还率。</w:t>
      </w:r>
      <w:bookmarkStart w:id="48" w:name="_Toc12233"/>
      <w:bookmarkStart w:id="49" w:name="_Toc22028"/>
    </w:p>
    <w:p>
      <w:pPr>
        <w:snapToGrid w:val="0"/>
        <w:spacing w:before="0" w:after="0" w:line="560" w:lineRule="exact"/>
        <w:ind w:firstLineChars="200"/>
        <w:jc w:val="both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13 遗失物品数据上传</w:t>
      </w:r>
      <w:bookmarkEnd w:id="48"/>
      <w:bookmarkEnd w:id="49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50" w:name="_Toc1241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13.1 数据上传要求</w:t>
      </w:r>
      <w:bookmarkEnd w:id="50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13.1.1机场应于每日12:00前完成前一日数据上传工作。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13.1.2机场应严格按照遗失物品分类标准进行上传。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13.1.3机场应建立数据的复核及监督抽查机制，确保数据上传及时、无误。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51" w:name="_Toc3200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13.2 图片上传要求</w:t>
      </w:r>
      <w:bookmarkEnd w:id="51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13.2.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除本标准明确的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第一类和第三类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遗失物品可不公布图片外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，其他类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别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遗失物品原则上均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公布图片。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13.2.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上传的图片信息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与相应遗失物品信息匹配。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240" w:lineRule="auto"/>
        <w:jc w:val="left"/>
        <w:outlineLvl w:val="0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52" w:name="_Toc17082"/>
      <w:bookmarkStart w:id="53" w:name="_Toc20780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14 相关管理要求</w:t>
      </w:r>
      <w:bookmarkEnd w:id="52"/>
      <w:bookmarkEnd w:id="53"/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54" w:name="_Toc32742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14.1 培训管理</w:t>
      </w:r>
      <w:bookmarkEnd w:id="54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14.1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.1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机场应建立遗失物品管理培训制度。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2培训内容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包含但不限于相关法律法规、规章制度、系统操作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知识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等。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3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工作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人员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经过专业培训，考核合格后上岗。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4每年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应至少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组织一次在岗人员复训，形式可自行选择。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14.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5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应对工作人员培训、复训记录进行存档，并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定期开展培训效果检测工作。</w:t>
      </w:r>
    </w:p>
    <w:p>
      <w:pPr>
        <w:snapToGrid w:val="0"/>
        <w:spacing w:before="0" w:after="0" w:line="560" w:lineRule="exact"/>
        <w:jc w:val="both"/>
        <w:outlineLvl w:val="1"/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55" w:name="_Toc10414"/>
      <w:r>
        <w:rPr>
          <w:rFonts w:hint="eastAsia" w:ascii="宋体" w:hAnsi="宋体" w:eastAsia="宋体"/>
          <w:b/>
          <w:bCs/>
          <w:color w:val="auto"/>
          <w:sz w:val="21"/>
          <w:szCs w:val="21"/>
          <w:highlight w:val="none"/>
          <w:lang w:val="en-US" w:eastAsia="zh-CN"/>
        </w:rPr>
        <w:t>14.2 投诉管理</w:t>
      </w:r>
      <w:bookmarkEnd w:id="55"/>
    </w:p>
    <w:p>
      <w:pPr>
        <w:snapToGrid w:val="0"/>
        <w:spacing w:before="0" w:after="0" w:line="560" w:lineRule="exact"/>
        <w:ind w:firstLineChars="200"/>
        <w:jc w:val="both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1机场投诉受理机构应受理遗失物品服务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相关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的意见或投诉，并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对外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公布服务监督电话。</w:t>
      </w:r>
    </w:p>
    <w:p>
      <w:pPr>
        <w:snapToGrid w:val="0"/>
        <w:spacing w:before="0" w:after="0" w:line="560" w:lineRule="exact"/>
        <w:ind w:firstLineChars="200"/>
        <w:jc w:val="both"/>
        <w:rPr>
          <w:rFonts w:ascii="黑体" w:hAnsi="黑体" w:eastAsia="黑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1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.2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.2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机场应做好遗失物品服务的投诉处理工作。</w:t>
      </w:r>
    </w:p>
    <w:p>
      <w:pPr>
        <w:snapToGrid w:val="0"/>
        <w:spacing w:before="0" w:after="0" w:line="560" w:lineRule="exact"/>
        <w:jc w:val="both"/>
        <w:outlineLvl w:val="9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560" w:lineRule="exact"/>
        <w:jc w:val="both"/>
        <w:outlineLvl w:val="9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560" w:lineRule="exact"/>
        <w:jc w:val="both"/>
        <w:outlineLvl w:val="9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560" w:lineRule="exact"/>
        <w:jc w:val="both"/>
        <w:outlineLvl w:val="9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560" w:lineRule="exact"/>
        <w:jc w:val="both"/>
        <w:outlineLvl w:val="9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560" w:lineRule="exact"/>
        <w:jc w:val="both"/>
        <w:outlineLvl w:val="0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  <w:bookmarkStart w:id="56" w:name="_Toc11106"/>
      <w:bookmarkStart w:id="57" w:name="_Toc32428"/>
    </w:p>
    <w:p>
      <w:pPr>
        <w:snapToGrid w:val="0"/>
        <w:spacing w:before="0" w:after="0" w:line="560" w:lineRule="exact"/>
        <w:jc w:val="center"/>
        <w:outlineLvl w:val="0"/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参考文献</w:t>
      </w:r>
      <w:bookmarkEnd w:id="56"/>
      <w:bookmarkEnd w:id="57"/>
    </w:p>
    <w:p>
      <w:pPr>
        <w:snapToGrid w:val="0"/>
        <w:spacing w:before="0" w:after="0" w:line="560" w:lineRule="exact"/>
        <w:jc w:val="center"/>
        <w:outlineLvl w:val="0"/>
        <w:rPr>
          <w:rFonts w:ascii="宋体" w:hAnsi="宋体" w:eastAsia="宋体"/>
          <w:b/>
          <w:bCs/>
          <w:color w:val="auto"/>
          <w:sz w:val="21"/>
          <w:szCs w:val="21"/>
          <w:highlight w:val="none"/>
        </w:rPr>
      </w:pPr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bookmarkStart w:id="58" w:name="_Toc24067"/>
      <w:bookmarkStart w:id="59" w:name="_Toc7375"/>
      <w:bookmarkStart w:id="60" w:name="_Toc31252"/>
      <w:bookmarkStart w:id="61" w:name="_Toc11925"/>
      <w:bookmarkStart w:id="62" w:name="_Toc7802"/>
      <w:bookmarkStart w:id="63" w:name="_Toc2226"/>
      <w:bookmarkStart w:id="64" w:name="_Toc28439"/>
      <w:bookmarkStart w:id="65" w:name="_Toc2112"/>
      <w:bookmarkStart w:id="66" w:name="_Toc6222"/>
      <w:bookmarkStart w:id="67" w:name="_Toc24953"/>
      <w:bookmarkStart w:id="68" w:name="_Toc6361"/>
      <w:bookmarkStart w:id="69" w:name="_Toc15436"/>
      <w:r>
        <w:rPr>
          <w:rFonts w:ascii="宋体" w:hAnsi="宋体" w:eastAsia="宋体"/>
          <w:color w:val="auto"/>
          <w:sz w:val="21"/>
          <w:szCs w:val="21"/>
          <w:highlight w:val="none"/>
        </w:rPr>
        <w:t>[1]《中华人民共和国民法典》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bookmarkStart w:id="70" w:name="_Toc20243"/>
      <w:bookmarkStart w:id="71" w:name="_Toc12138"/>
      <w:bookmarkStart w:id="72" w:name="_Toc2929"/>
      <w:bookmarkStart w:id="73" w:name="_Toc7629"/>
      <w:bookmarkStart w:id="74" w:name="_Toc28130"/>
      <w:bookmarkStart w:id="75" w:name="_Toc20313"/>
      <w:bookmarkStart w:id="76" w:name="_Toc13923"/>
      <w:bookmarkStart w:id="77" w:name="_Toc28241"/>
      <w:bookmarkStart w:id="78" w:name="_Toc6779"/>
      <w:bookmarkStart w:id="79" w:name="_Toc31612"/>
      <w:bookmarkStart w:id="80" w:name="_Toc25214"/>
      <w:bookmarkStart w:id="81" w:name="_Toc28460"/>
      <w:r>
        <w:rPr>
          <w:rFonts w:ascii="宋体" w:hAnsi="宋体" w:eastAsia="宋体"/>
          <w:color w:val="auto"/>
          <w:sz w:val="21"/>
          <w:szCs w:val="21"/>
          <w:highlight w:val="none"/>
        </w:rPr>
        <w:t>[2]《中华人民共和国消费者权益保护法》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bookmarkStart w:id="82" w:name="_Toc15382"/>
      <w:bookmarkStart w:id="83" w:name="_Toc28400"/>
      <w:bookmarkStart w:id="84" w:name="_Toc22404"/>
      <w:bookmarkStart w:id="85" w:name="_Toc25075"/>
      <w:bookmarkStart w:id="86" w:name="_Toc26063"/>
      <w:bookmarkStart w:id="87" w:name="_Toc26765"/>
      <w:bookmarkStart w:id="88" w:name="_Toc29065"/>
      <w:bookmarkStart w:id="89" w:name="_Toc5783"/>
      <w:bookmarkStart w:id="90" w:name="_Toc718"/>
      <w:bookmarkStart w:id="91" w:name="_Toc15698"/>
      <w:bookmarkStart w:id="92" w:name="_Toc16080"/>
      <w:bookmarkStart w:id="93" w:name="_Toc12920"/>
      <w:r>
        <w:rPr>
          <w:rFonts w:ascii="宋体" w:hAnsi="宋体" w:eastAsia="宋体"/>
          <w:color w:val="auto"/>
          <w:sz w:val="21"/>
          <w:szCs w:val="21"/>
          <w:highlight w:val="none"/>
        </w:rPr>
        <w:t>[3]《中华人民共和国反恐怖主义法》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hint="default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[4]《中华人民共和国消防法》</w:t>
      </w:r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</w:pPr>
      <w:bookmarkStart w:id="94" w:name="_Toc3748"/>
      <w:bookmarkStart w:id="95" w:name="_Toc12386"/>
      <w:bookmarkStart w:id="96" w:name="_Toc15887"/>
      <w:bookmarkStart w:id="97" w:name="_Toc27387"/>
      <w:bookmarkStart w:id="98" w:name="_Toc17728"/>
      <w:bookmarkStart w:id="99" w:name="_Toc10298"/>
      <w:bookmarkStart w:id="100" w:name="_Toc14370"/>
      <w:bookmarkStart w:id="101" w:name="_Toc32435"/>
      <w:bookmarkStart w:id="102" w:name="_Toc18097"/>
      <w:bookmarkStart w:id="103" w:name="_Toc1925"/>
      <w:bookmarkStart w:id="104" w:name="_Toc8093"/>
      <w:bookmarkStart w:id="105" w:name="_Toc1739"/>
      <w:r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  <w:t>[</w:t>
      </w:r>
      <w:r>
        <w:rPr>
          <w:rFonts w:hint="eastAsia" w:ascii="宋体" w:hAnsi="宋体" w:eastAsia="宋体"/>
          <w:color w:val="auto"/>
          <w:spacing w:val="-6"/>
          <w:sz w:val="21"/>
          <w:szCs w:val="21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  <w:t>]《民用航空运输机场航空安全保卫规则》（交通运输部令2016年第48号）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</w:pPr>
      <w:bookmarkStart w:id="106" w:name="_Toc18755"/>
      <w:bookmarkStart w:id="107" w:name="_Toc24836"/>
      <w:bookmarkStart w:id="108" w:name="_Toc11854"/>
      <w:bookmarkStart w:id="109" w:name="_Toc25826"/>
      <w:bookmarkStart w:id="110" w:name="_Toc25509"/>
      <w:bookmarkStart w:id="111" w:name="_Toc16700"/>
      <w:bookmarkStart w:id="112" w:name="_Toc28069"/>
      <w:bookmarkStart w:id="113" w:name="_Toc13545"/>
      <w:bookmarkStart w:id="114" w:name="_Toc14028"/>
      <w:bookmarkStart w:id="115" w:name="_Toc20425"/>
      <w:bookmarkStart w:id="116" w:name="_Toc10496"/>
      <w:bookmarkStart w:id="117" w:name="_Toc28033"/>
      <w:r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  <w:t>[</w:t>
      </w:r>
      <w:r>
        <w:rPr>
          <w:rFonts w:hint="eastAsia" w:ascii="宋体" w:hAnsi="宋体" w:eastAsia="宋体"/>
          <w:color w:val="auto"/>
          <w:spacing w:val="-6"/>
          <w:sz w:val="21"/>
          <w:szCs w:val="21"/>
          <w:highlight w:val="none"/>
          <w:lang w:val="en-US" w:eastAsia="zh-CN"/>
        </w:rPr>
        <w:t>6</w:t>
      </w:r>
      <w:r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  <w:t>]《民用航空安全检查规则》（交通运输部令2016年第76号）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bookmarkStart w:id="118" w:name="_Toc2894"/>
      <w:bookmarkStart w:id="119" w:name="_Toc21482"/>
      <w:bookmarkStart w:id="120" w:name="_Toc17091"/>
      <w:bookmarkStart w:id="121" w:name="_Toc25142"/>
      <w:bookmarkStart w:id="122" w:name="_Toc25945"/>
      <w:bookmarkStart w:id="123" w:name="_Toc13609"/>
      <w:bookmarkStart w:id="124" w:name="_Toc21214"/>
      <w:bookmarkStart w:id="125" w:name="_Toc19947"/>
      <w:bookmarkStart w:id="126" w:name="_Toc6012"/>
      <w:bookmarkStart w:id="127" w:name="_Toc30336"/>
      <w:bookmarkStart w:id="128" w:name="_Toc2433"/>
      <w:bookmarkStart w:id="129" w:name="_Toc31224"/>
      <w:r>
        <w:rPr>
          <w:rFonts w:ascii="宋体" w:hAnsi="宋体" w:eastAsia="宋体"/>
          <w:color w:val="auto"/>
          <w:sz w:val="21"/>
          <w:szCs w:val="21"/>
          <w:highlight w:val="none"/>
        </w:rPr>
        <w:t>[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]《公共航空运输服务消费者投诉管理办法》（民航发</w:t>
      </w:r>
      <w:r>
        <w:rPr>
          <w:rFonts w:ascii="宋体" w:hAnsi="宋体" w:eastAsia="宋体"/>
          <w:color w:val="auto"/>
          <w:spacing w:val="-6"/>
          <w:sz w:val="21"/>
          <w:szCs w:val="21"/>
          <w:highlight w:val="none"/>
        </w:rPr>
        <w:t>﹝2018﹞26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号）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</w:pPr>
      <w:bookmarkStart w:id="130" w:name="_Toc26677"/>
      <w:bookmarkStart w:id="131" w:name="_Toc27060"/>
      <w:bookmarkStart w:id="132" w:name="_Toc31620"/>
      <w:bookmarkStart w:id="133" w:name="_Toc5388"/>
      <w:bookmarkStart w:id="134" w:name="_Toc23170"/>
      <w:bookmarkStart w:id="135" w:name="_Toc21235"/>
      <w:bookmarkStart w:id="136" w:name="_Toc20699"/>
      <w:bookmarkStart w:id="137" w:name="_Toc17393"/>
      <w:bookmarkStart w:id="138" w:name="_Toc17438"/>
      <w:bookmarkStart w:id="139" w:name="_Toc25572"/>
      <w:bookmarkStart w:id="140" w:name="_Toc18903"/>
      <w:bookmarkStart w:id="141" w:name="_Toc27695"/>
      <w:r>
        <w:rPr>
          <w:rFonts w:ascii="宋体" w:hAnsi="宋体" w:eastAsia="宋体"/>
          <w:color w:val="auto"/>
          <w:sz w:val="21"/>
          <w:szCs w:val="21"/>
          <w:highlight w:val="none"/>
        </w:rPr>
        <w:t>[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]《建筑灭火器配置设计规范》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GB50140一2005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bookmarkEnd w:id="138"/>
      <w:bookmarkEnd w:id="139"/>
      <w:bookmarkEnd w:id="140"/>
      <w:bookmarkEnd w:id="141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bookmarkStart w:id="142" w:name="_Toc22908"/>
      <w:bookmarkStart w:id="143" w:name="_Toc24789"/>
      <w:bookmarkStart w:id="144" w:name="_Toc18290"/>
      <w:bookmarkStart w:id="145" w:name="_Toc12800"/>
      <w:bookmarkStart w:id="146" w:name="_Toc22223"/>
      <w:bookmarkStart w:id="147" w:name="_Toc19340"/>
      <w:bookmarkStart w:id="148" w:name="_Toc9227"/>
      <w:bookmarkStart w:id="149" w:name="_Toc26043"/>
      <w:bookmarkStart w:id="150" w:name="_Toc8548"/>
      <w:bookmarkStart w:id="151" w:name="_Toc31335"/>
      <w:bookmarkStart w:id="152" w:name="_Toc13918"/>
      <w:bookmarkStart w:id="153" w:name="_Toc4970"/>
      <w:bookmarkStart w:id="154" w:name="_Toc1670"/>
      <w:bookmarkStart w:id="155" w:name="_Toc32432"/>
      <w:bookmarkStart w:id="156" w:name="_Toc5737"/>
      <w:bookmarkStart w:id="157" w:name="_Toc28494"/>
      <w:bookmarkStart w:id="158" w:name="_Toc18857"/>
      <w:bookmarkStart w:id="159" w:name="_Toc18999"/>
      <w:bookmarkStart w:id="160" w:name="_Toc3069"/>
      <w:bookmarkStart w:id="161" w:name="_Toc31803"/>
      <w:bookmarkStart w:id="162" w:name="_Toc26164"/>
      <w:bookmarkStart w:id="163" w:name="_Toc24353"/>
      <w:bookmarkStart w:id="164" w:name="_Toc1401"/>
      <w:bookmarkStart w:id="165" w:name="_Toc25090"/>
      <w:r>
        <w:rPr>
          <w:rFonts w:ascii="宋体" w:hAnsi="宋体" w:eastAsia="宋体"/>
          <w:color w:val="auto"/>
          <w:sz w:val="21"/>
          <w:szCs w:val="21"/>
          <w:highlight w:val="none"/>
        </w:rPr>
        <w:t>[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]《公共航空运输旅客服务管理规定》（交通运输部令2021年第3号）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bookmarkStart w:id="166" w:name="_Toc14177"/>
      <w:bookmarkStart w:id="167" w:name="_Toc31969"/>
      <w:bookmarkStart w:id="168" w:name="_Toc18310"/>
      <w:bookmarkStart w:id="169" w:name="_Toc4920"/>
      <w:bookmarkStart w:id="170" w:name="_Toc10959"/>
      <w:bookmarkStart w:id="171" w:name="_Toc10897"/>
      <w:bookmarkStart w:id="172" w:name="_Toc4646"/>
      <w:bookmarkStart w:id="173" w:name="_Toc24910"/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[10]</w:t>
      </w:r>
      <w:bookmarkEnd w:id="166"/>
      <w:r>
        <w:rPr>
          <w:rFonts w:ascii="宋体" w:hAnsi="宋体" w:eastAsia="宋体"/>
          <w:color w:val="auto"/>
          <w:sz w:val="21"/>
          <w:szCs w:val="21"/>
          <w:highlight w:val="none"/>
        </w:rPr>
        <w:t>《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危险品安全航空运输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技术细则》</w:t>
      </w:r>
      <w:bookmarkEnd w:id="167"/>
      <w:bookmarkEnd w:id="168"/>
      <w:bookmarkEnd w:id="169"/>
      <w:bookmarkEnd w:id="170"/>
      <w:bookmarkEnd w:id="171"/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Doc 9284号文件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）</w:t>
      </w:r>
      <w:bookmarkEnd w:id="172"/>
      <w:bookmarkEnd w:id="173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</w:pPr>
      <w:bookmarkStart w:id="174" w:name="_Toc2259"/>
      <w:bookmarkStart w:id="175" w:name="_Toc29294"/>
      <w:bookmarkStart w:id="176" w:name="_Toc30562"/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[11]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《危险品规则》</w:t>
      </w:r>
      <w:bookmarkEnd w:id="174"/>
      <w:bookmarkEnd w:id="175"/>
      <w:bookmarkEnd w:id="176"/>
    </w:p>
    <w:p>
      <w:pPr>
        <w:snapToGrid w:val="0"/>
        <w:spacing w:before="0" w:after="0" w:line="560" w:lineRule="exact"/>
        <w:ind w:firstLine="0"/>
        <w:jc w:val="both"/>
        <w:outlineLvl w:val="0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ascii="宋体" w:hAnsi="宋体" w:eastAsia="宋体"/>
          <w:color w:val="auto"/>
          <w:sz w:val="21"/>
          <w:szCs w:val="21"/>
          <w:highlight w:val="none"/>
        </w:rPr>
        <w:t>[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val="en-US" w:eastAsia="zh-CN"/>
        </w:rPr>
        <w:t>12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]《</w:t>
      </w:r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民用机场旅客服务质量</w:t>
      </w:r>
      <w:r>
        <w:rPr>
          <w:rFonts w:ascii="宋体" w:hAnsi="宋体" w:eastAsia="宋体"/>
          <w:color w:val="auto"/>
          <w:sz w:val="21"/>
          <w:szCs w:val="21"/>
          <w:highlight w:val="none"/>
        </w:rPr>
        <w:t>》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  <w:t>（T/CCAATB 0007—2020）</w:t>
      </w:r>
      <w:bookmarkEnd w:id="162"/>
      <w:bookmarkEnd w:id="163"/>
      <w:bookmarkEnd w:id="164"/>
      <w:bookmarkEnd w:id="165"/>
    </w:p>
    <w:sectPr>
      <w:footerReference r:id="rId5" w:type="default"/>
      <w:pgSz w:w="11906" w:h="16838"/>
      <w:pgMar w:top="2154" w:right="1417" w:bottom="2041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/>
      <w:spacing w:before="0" w:after="0" w:line="240" w:lineRule="auto"/>
      <w:jc w:val="both"/>
      <w:rPr>
        <w:rFonts w:ascii="宋体" w:hAnsi="宋体" w:eastAsia="宋体"/>
        <w:color w:val="000000"/>
        <w:sz w:val="18"/>
        <w:szCs w:val="18"/>
      </w:rPr>
    </w:pPr>
  </w:p>
  <w:p>
    <w:pPr>
      <w:snapToGrid w:val="0"/>
      <w:spacing w:before="0" w:after="0" w:line="240" w:lineRule="auto"/>
      <w:jc w:val="left"/>
      <w:rPr>
        <w:rFonts w:ascii="微软雅黑" w:hAnsi="微软雅黑" w:eastAsia="微软雅黑"/>
        <w:color w:val="000000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spacing w:before="0" w:after="0" w:line="240" w:lineRule="auto"/>
                            <w:jc w:val="lef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0" w:after="0" w:line="240" w:lineRule="auto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/>
      <w:spacing w:before="0" w:after="0" w:line="240" w:lineRule="auto"/>
      <w:jc w:val="both"/>
      <w:rPr>
        <w:rFonts w:ascii="宋体" w:hAnsi="宋体" w:eastAsia="宋体"/>
        <w:color w:val="000000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snapToGrid w:val="0"/>
      <w:spacing w:before="0" w:after="0" w:line="240" w:lineRule="auto"/>
      <w:jc w:val="left"/>
      <w:rPr>
        <w:rFonts w:ascii="微软雅黑" w:hAnsi="微软雅黑" w:eastAsia="微软雅黑"/>
        <w:color w:val="000000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spacing w:before="0" w:after="0" w:line="240" w:lineRule="auto"/>
                            <w:jc w:val="lef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0" w:after="0" w:line="240" w:lineRule="auto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/>
      <w:spacing w:before="0" w:after="0" w:line="240" w:lineRule="auto"/>
      <w:jc w:val="both"/>
      <w:rPr>
        <w:rFonts w:ascii="宋体" w:hAnsi="宋体" w:eastAsia="宋体"/>
        <w:color w:val="000000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snapToGrid w:val="0"/>
      <w:spacing w:before="0" w:after="0" w:line="240" w:lineRule="auto"/>
      <w:jc w:val="left"/>
      <w:rPr>
        <w:rFonts w:ascii="微软雅黑" w:hAnsi="微软雅黑" w:eastAsia="微软雅黑"/>
        <w:color w:val="000000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spacing w:before="0" w:after="0" w:line="240" w:lineRule="auto"/>
                            <w:jc w:val="lef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0" w:after="0" w:line="240" w:lineRule="auto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A9587A"/>
    <w:rsid w:val="00BA0C1A"/>
    <w:rsid w:val="00C061CB"/>
    <w:rsid w:val="00C604EC"/>
    <w:rsid w:val="00E26251"/>
    <w:rsid w:val="00EA1EE8"/>
    <w:rsid w:val="00F53662"/>
    <w:rsid w:val="01C1595B"/>
    <w:rsid w:val="04446933"/>
    <w:rsid w:val="048528AD"/>
    <w:rsid w:val="056F5DB7"/>
    <w:rsid w:val="05AB4C12"/>
    <w:rsid w:val="067A73EF"/>
    <w:rsid w:val="083D07F0"/>
    <w:rsid w:val="0BA63D3C"/>
    <w:rsid w:val="0BCA7E4E"/>
    <w:rsid w:val="0D7C2DA1"/>
    <w:rsid w:val="0DED4D30"/>
    <w:rsid w:val="105E3B74"/>
    <w:rsid w:val="10F837DD"/>
    <w:rsid w:val="11C74246"/>
    <w:rsid w:val="11F4097D"/>
    <w:rsid w:val="135963AF"/>
    <w:rsid w:val="14616FF4"/>
    <w:rsid w:val="168D14A6"/>
    <w:rsid w:val="18FE0772"/>
    <w:rsid w:val="1BD0792F"/>
    <w:rsid w:val="1C2C4424"/>
    <w:rsid w:val="1CD54CE6"/>
    <w:rsid w:val="1DE753D9"/>
    <w:rsid w:val="1DEC38DC"/>
    <w:rsid w:val="211E26E6"/>
    <w:rsid w:val="27CD7CB6"/>
    <w:rsid w:val="289B58EC"/>
    <w:rsid w:val="29595BA3"/>
    <w:rsid w:val="29976FA3"/>
    <w:rsid w:val="2CCB5384"/>
    <w:rsid w:val="2E6C29D2"/>
    <w:rsid w:val="2F463008"/>
    <w:rsid w:val="301B5963"/>
    <w:rsid w:val="30456175"/>
    <w:rsid w:val="334B4596"/>
    <w:rsid w:val="339E0B77"/>
    <w:rsid w:val="34F45B0C"/>
    <w:rsid w:val="36772279"/>
    <w:rsid w:val="371FB793"/>
    <w:rsid w:val="37591941"/>
    <w:rsid w:val="396F3414"/>
    <w:rsid w:val="3A006A33"/>
    <w:rsid w:val="3A935B51"/>
    <w:rsid w:val="3BD0445E"/>
    <w:rsid w:val="3BD33D22"/>
    <w:rsid w:val="41EB5B9E"/>
    <w:rsid w:val="434067C1"/>
    <w:rsid w:val="453B7688"/>
    <w:rsid w:val="4865776B"/>
    <w:rsid w:val="495125CF"/>
    <w:rsid w:val="4B005CCE"/>
    <w:rsid w:val="4DEE7DF1"/>
    <w:rsid w:val="4E612BAC"/>
    <w:rsid w:val="4E8E0D01"/>
    <w:rsid w:val="522442E2"/>
    <w:rsid w:val="5294398B"/>
    <w:rsid w:val="55E13E0C"/>
    <w:rsid w:val="568D20C3"/>
    <w:rsid w:val="570F45E4"/>
    <w:rsid w:val="5C0A63D0"/>
    <w:rsid w:val="5CEE63A5"/>
    <w:rsid w:val="5D611A49"/>
    <w:rsid w:val="5F282965"/>
    <w:rsid w:val="607E7571"/>
    <w:rsid w:val="61494287"/>
    <w:rsid w:val="637D2311"/>
    <w:rsid w:val="646E60E6"/>
    <w:rsid w:val="6A5D2894"/>
    <w:rsid w:val="6AE14A93"/>
    <w:rsid w:val="6E310B8E"/>
    <w:rsid w:val="6EAF13B0"/>
    <w:rsid w:val="70911069"/>
    <w:rsid w:val="71061E72"/>
    <w:rsid w:val="723A524A"/>
    <w:rsid w:val="72E562BC"/>
    <w:rsid w:val="756F117E"/>
    <w:rsid w:val="760C2B47"/>
    <w:rsid w:val="77BB6AA7"/>
    <w:rsid w:val="78176F91"/>
    <w:rsid w:val="787EB98F"/>
    <w:rsid w:val="78B2086E"/>
    <w:rsid w:val="78C6608D"/>
    <w:rsid w:val="7A3B2499"/>
    <w:rsid w:val="7C2D06EA"/>
    <w:rsid w:val="7C4D3BF8"/>
    <w:rsid w:val="7E0C660A"/>
    <w:rsid w:val="ADDF215A"/>
    <w:rsid w:val="DFCE7E40"/>
    <w:rsid w:val="F7D3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 w:line="408" w:lineRule="auto"/>
      <w:jc w:val="left"/>
      <w:outlineLvl w:val="0"/>
    </w:pPr>
    <w:rPr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40" w:after="240" w:line="408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6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5"/>
    <w:semiHidden/>
    <w:qFormat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106</Characters>
  <Lines>1</Lines>
  <Paragraphs>1</Paragraphs>
  <TotalTime>263</TotalTime>
  <ScaleCrop>false</ScaleCrop>
  <LinksUpToDate>false</LinksUpToDate>
  <CharactersWithSpaces>123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2017-01-11T01:10:00Z</dcterms:created>
  <dc:creator>Tencent</dc:creator>
  <cp:lastModifiedBy>羊羊</cp:lastModifiedBy>
  <cp:lastPrinted>2021-03-25T02:48:00Z</cp:lastPrinted>
  <dcterms:modified xsi:type="dcterms:W3CDTF">2021-03-25T12:20:28Z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A674507B96BB4D8E87278A1DC48E2296</vt:lpwstr>
  </property>
</Properties>
</file>